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</w:pPr>
      <w:r>
        <w:rPr/>
      </w:r>
    </w:p>
    <w:p>
      <w:pPr>
        <w:pStyle w:val="style25"/>
      </w:pPr>
      <w:r>
        <w:rPr/>
        <w:t xml:space="preserve">Procès-verbal du CRAM </w:t>
      </w:r>
    </w:p>
    <w:p>
      <w:pPr>
        <w:pStyle w:val="style0"/>
      </w:pPr>
      <w:r>
        <w:rPr>
          <w:i/>
          <w:sz w:val="28"/>
          <w:szCs w:val="28"/>
        </w:rPr>
        <w:t>26 octobre 2011</w:t>
      </w:r>
    </w:p>
    <w:p>
      <w:pPr>
        <w:pStyle w:val="style0"/>
      </w:pPr>
      <w:r>
        <w:rPr/>
        <w:t>Présences:</w:t>
      </w:r>
    </w:p>
    <w:p>
      <w:pPr>
        <w:pStyle w:val="style0"/>
        <w:tabs>
          <w:tab w:leader="none" w:pos="9013" w:val="left"/>
        </w:tabs>
      </w:pPr>
      <w:r>
        <w:rPr/>
        <w:t>*AECSL</w:t>
        <w:br/>
        <w:t>*AFELC</w:t>
        <w:br/>
        <w:t>*AFESH-UQAM</w:t>
        <w:br/>
        <w:t>*AFESPED-UQAM</w:t>
        <w:br/>
        <w:t>*AGECVM</w:t>
        <w:br/>
        <w:t>*AGÉCAL</w:t>
        <w:br/>
        <w:t>*AÉAUM</w:t>
        <w:br/>
        <w:t>*AESS-UQAM</w:t>
        <w:br/>
        <w:t>*RUSH-UdeM</w:t>
        <w:br/>
        <w:t>*SECMV</w:t>
        <w:br/>
        <w:t>*SOGEECOM</w:t>
      </w:r>
    </w:p>
    <w:p>
      <w:pPr>
        <w:pStyle w:val="style0"/>
      </w:pPr>
      <w:r>
        <w:rPr>
          <w:sz w:val="24"/>
          <w:szCs w:val="24"/>
        </w:rPr>
        <w:t>0. Ouverture</w:t>
      </w:r>
    </w:p>
    <w:p>
      <w:pPr>
        <w:pStyle w:val="style0"/>
      </w:pPr>
      <w:r>
        <w:rPr>
          <w:b w:val="false"/>
          <w:u w:val="single"/>
        </w:rPr>
        <w:t>Proposition d’ouverture (19h05)</w:t>
      </w:r>
      <w:r>
        <w:rPr>
          <w:b w:val="false"/>
        </w:rPr>
        <w:br/>
        <w:tab/>
        <w:t>Proposée par la SOGEECOM</w:t>
        <w:br/>
        <w:tab/>
        <w:t>Appuyée par AFESPED</w:t>
        <w:br/>
        <w:tab/>
        <w:t>Adoptée à l’unanimité</w:t>
      </w:r>
    </w:p>
    <w:p>
      <w:pPr>
        <w:pStyle w:val="style27"/>
        <w:numPr>
          <w:ilvl w:val="0"/>
          <w:numId w:val="2"/>
        </w:numPr>
      </w:pPr>
      <w:r>
        <w:rPr>
          <w:sz w:val="24"/>
          <w:szCs w:val="24"/>
        </w:rPr>
        <w:t>Procédures</w:t>
      </w:r>
    </w:p>
    <w:p>
      <w:pPr>
        <w:pStyle w:val="style0"/>
        <w:ind w:hanging="709" w:left="709" w:right="0"/>
      </w:pPr>
      <w:r>
        <w:rPr>
          <w:b w:val="false"/>
          <w:u w:val="single"/>
        </w:rPr>
        <w:t>Que la présidence et le secrétariat soit assuré par Hugo Séguin et Jean-Michel Savard respectivement</w:t>
      </w:r>
      <w:r>
        <w:rPr>
          <w:b w:val="false"/>
        </w:rPr>
        <w:br/>
        <w:t>Proposée par l’AFESH-UQAM</w:t>
        <w:br/>
        <w:t>Appuyée par l’AFESPED</w:t>
        <w:br/>
        <w:t>Adoptée à l’unanimité</w:t>
      </w:r>
    </w:p>
    <w:p>
      <w:pPr>
        <w:pStyle w:val="style0"/>
        <w:ind w:hanging="709" w:left="709" w:right="0"/>
      </w:pPr>
      <w:r>
        <w:rPr>
          <w:sz w:val="24"/>
          <w:szCs w:val="24"/>
        </w:rPr>
        <w:t>1.1 Animation et secrétariat</w:t>
      </w:r>
    </w:p>
    <w:p>
      <w:pPr>
        <w:pStyle w:val="style0"/>
        <w:spacing w:after="0" w:before="0" w:line="100" w:lineRule="atLeast"/>
        <w:ind w:hanging="709" w:left="709" w:right="0"/>
      </w:pPr>
      <w:r>
        <w:rPr>
          <w:b w:val="false"/>
          <w:u w:val="single"/>
        </w:rPr>
        <w:t>Que l’ordre du jour soit adopté tel que :</w:t>
      </w:r>
      <w:r>
        <w:rPr>
          <w:b w:val="false"/>
        </w:rPr>
        <w:t xml:space="preserve"> </w:t>
      </w:r>
    </w:p>
    <w:p>
      <w:pPr>
        <w:pStyle w:val="style28"/>
        <w:spacing w:after="28" w:before="28"/>
        <w:ind w:hanging="141" w:left="567" w:right="0"/>
      </w:pPr>
      <w:r>
        <w:rPr>
          <w:sz w:val="22"/>
          <w:szCs w:val="22"/>
        </w:rPr>
        <w:t xml:space="preserve">0.0 Ouverture </w:t>
      </w:r>
    </w:p>
    <w:p>
      <w:pPr>
        <w:pStyle w:val="style28"/>
        <w:spacing w:after="28" w:before="28"/>
        <w:ind w:hanging="141" w:left="567" w:right="0"/>
      </w:pPr>
      <w:r>
        <w:rPr>
          <w:sz w:val="22"/>
          <w:szCs w:val="22"/>
        </w:rPr>
        <w:t xml:space="preserve">1.0 Procédures </w:t>
      </w:r>
    </w:p>
    <w:p>
      <w:pPr>
        <w:pStyle w:val="style28"/>
        <w:spacing w:after="28" w:before="28"/>
        <w:ind w:hanging="141" w:left="567" w:right="0"/>
      </w:pPr>
      <w:r>
        <w:rPr>
          <w:color w:val="808080"/>
          <w:sz w:val="22"/>
          <w:szCs w:val="22"/>
        </w:rPr>
        <w:t xml:space="preserve">1.1 Animation et secrétariat </w:t>
      </w:r>
    </w:p>
    <w:p>
      <w:pPr>
        <w:pStyle w:val="style28"/>
        <w:spacing w:after="28" w:before="28"/>
        <w:ind w:hanging="141" w:left="567" w:right="0"/>
      </w:pPr>
      <w:r>
        <w:rPr>
          <w:color w:val="808080"/>
          <w:sz w:val="22"/>
          <w:szCs w:val="22"/>
        </w:rPr>
        <w:t xml:space="preserve">1.2 Lecture et adoption de l'ordre du jour </w:t>
      </w:r>
    </w:p>
    <w:p>
      <w:pPr>
        <w:pStyle w:val="style28"/>
        <w:spacing w:after="28" w:before="28"/>
        <w:ind w:hanging="141" w:left="567" w:right="0"/>
      </w:pPr>
      <w:r>
        <w:rPr>
          <w:color w:val="808080"/>
          <w:sz w:val="22"/>
          <w:szCs w:val="22"/>
        </w:rPr>
        <w:t>1.3 Lectu</w:t>
      </w:r>
      <w:bookmarkStart w:id="0" w:name="_GoBack"/>
      <w:bookmarkEnd w:id="0"/>
      <w:r>
        <w:rPr>
          <w:color w:val="808080"/>
          <w:sz w:val="22"/>
          <w:szCs w:val="22"/>
        </w:rPr>
        <w:t xml:space="preserve">re et adoption du procès-verbal </w:t>
      </w:r>
    </w:p>
    <w:p>
      <w:pPr>
        <w:pStyle w:val="style28"/>
        <w:spacing w:after="28" w:before="28"/>
        <w:ind w:hanging="0" w:left="426" w:right="0"/>
      </w:pPr>
      <w:r>
        <w:rPr>
          <w:sz w:val="22"/>
          <w:szCs w:val="22"/>
        </w:rPr>
        <w:t>2.0 Tour de table</w:t>
        <w:br/>
        <w:t>3.0 Nouveaux Membres</w:t>
      </w:r>
    </w:p>
    <w:p>
      <w:pPr>
        <w:pStyle w:val="style28"/>
        <w:spacing w:after="28" w:before="28"/>
        <w:ind w:hanging="141" w:left="567" w:right="0"/>
      </w:pPr>
      <w:r>
        <w:rPr>
          <w:sz w:val="22"/>
          <w:szCs w:val="22"/>
        </w:rPr>
        <w:t>5.0 Retour sur la semaine d'actions</w:t>
      </w:r>
    </w:p>
    <w:p>
      <w:pPr>
        <w:pStyle w:val="style28"/>
        <w:numPr>
          <w:ilvl w:val="0"/>
          <w:numId w:val="3"/>
        </w:numPr>
        <w:spacing w:after="28" w:before="28"/>
      </w:pPr>
      <w:r>
        <w:rPr>
          <w:sz w:val="22"/>
          <w:szCs w:val="22"/>
        </w:rPr>
        <w:t>Manifestation du 10 novembre</w:t>
      </w:r>
    </w:p>
    <w:p>
      <w:pPr>
        <w:pStyle w:val="style28"/>
        <w:spacing w:after="28" w:before="28"/>
        <w:ind w:hanging="0" w:left="426" w:right="0"/>
      </w:pPr>
      <w:r>
        <w:rPr>
          <w:sz w:val="22"/>
          <w:szCs w:val="22"/>
        </w:rPr>
        <w:t>6.0Conseil de coordination</w:t>
      </w:r>
    </w:p>
    <w:p>
      <w:pPr>
        <w:pStyle w:val="style28"/>
        <w:spacing w:after="28" w:before="28"/>
        <w:ind w:firstLine="426" w:left="0" w:right="0"/>
      </w:pPr>
      <w:r>
        <w:rPr>
          <w:color w:val="808080"/>
          <w:sz w:val="22"/>
          <w:szCs w:val="22"/>
        </w:rPr>
        <w:t>6.1 Retour sur le dernier CoCo</w:t>
      </w:r>
    </w:p>
    <w:p>
      <w:pPr>
        <w:pStyle w:val="style28"/>
        <w:spacing w:after="28" w:before="28"/>
        <w:ind w:hanging="0" w:left="426" w:right="0"/>
      </w:pPr>
      <w:r>
        <w:rPr>
          <w:color w:val="808080"/>
          <w:sz w:val="22"/>
          <w:szCs w:val="22"/>
        </w:rPr>
        <w:t>6.2 Prochain CoCo</w:t>
      </w:r>
    </w:p>
    <w:p>
      <w:pPr>
        <w:pStyle w:val="style28"/>
        <w:spacing w:after="28" w:before="28"/>
        <w:ind w:hanging="141" w:left="567" w:right="0"/>
      </w:pPr>
      <w:r>
        <w:rPr>
          <w:sz w:val="22"/>
          <w:szCs w:val="22"/>
        </w:rPr>
        <w:t>7.0 Bilan et budget du CRAM</w:t>
      </w:r>
    </w:p>
    <w:p>
      <w:pPr>
        <w:pStyle w:val="style28"/>
        <w:spacing w:after="28" w:before="28"/>
        <w:ind w:hanging="141" w:left="567" w:right="0"/>
      </w:pPr>
      <w:r>
        <w:rPr>
          <w:sz w:val="22"/>
          <w:szCs w:val="22"/>
        </w:rPr>
        <w:t>8.0 Congrès de l'ASSÉ</w:t>
      </w:r>
    </w:p>
    <w:p>
      <w:pPr>
        <w:pStyle w:val="style28"/>
        <w:spacing w:after="28" w:before="28"/>
        <w:ind w:hanging="141" w:left="567" w:right="0"/>
      </w:pPr>
      <w:r>
        <w:rPr>
          <w:sz w:val="22"/>
          <w:szCs w:val="22"/>
        </w:rPr>
        <w:t>9.0 Suite du plan d'action et perspective 2012</w:t>
      </w:r>
    </w:p>
    <w:p>
      <w:pPr>
        <w:pStyle w:val="style28"/>
        <w:spacing w:after="28" w:before="28"/>
        <w:ind w:hanging="141" w:left="567" w:right="0"/>
      </w:pPr>
      <w:r>
        <w:rPr>
          <w:sz w:val="22"/>
          <w:szCs w:val="22"/>
        </w:rPr>
        <w:t>10.0 Prochaine réunion</w:t>
      </w:r>
    </w:p>
    <w:p>
      <w:pPr>
        <w:pStyle w:val="style28"/>
        <w:spacing w:after="28" w:before="28"/>
        <w:ind w:hanging="141" w:left="567" w:right="0"/>
      </w:pPr>
      <w:r>
        <w:rPr>
          <w:sz w:val="22"/>
          <w:szCs w:val="22"/>
        </w:rPr>
        <w:t>11.0 Varia</w:t>
      </w:r>
    </w:p>
    <w:p>
      <w:pPr>
        <w:pStyle w:val="style28"/>
        <w:spacing w:after="28" w:before="28"/>
        <w:ind w:hanging="141" w:left="567" w:right="0"/>
      </w:pPr>
      <w:r>
        <w:rPr>
          <w:sz w:val="22"/>
          <w:szCs w:val="22"/>
        </w:rPr>
        <w:t>12.0 Levée</w:t>
      </w:r>
    </w:p>
    <w:p>
      <w:pPr>
        <w:pStyle w:val="style0"/>
        <w:ind w:hanging="709" w:left="709" w:right="0"/>
      </w:pPr>
      <w:r>
        <w:rPr>
          <w:b w:val="false"/>
        </w:rPr>
        <w:br/>
        <w:t>Proposée par l’AFESH-UQAM</w:t>
        <w:br/>
        <w:t>Appuyée par l’AGECVM</w:t>
        <w:br/>
        <w:t>Adoptée à l’unanimité</w:t>
      </w:r>
    </w:p>
    <w:p>
      <w:pPr>
        <w:pStyle w:val="style0"/>
        <w:ind w:hanging="709" w:left="709" w:right="0"/>
      </w:pPr>
      <w:r>
        <w:rPr>
          <w:sz w:val="24"/>
          <w:szCs w:val="24"/>
        </w:rPr>
        <w:t>1.3 Lecture et adoption du procès-verbal</w:t>
      </w:r>
    </w:p>
    <w:p>
      <w:pPr>
        <w:pStyle w:val="style0"/>
        <w:ind w:hanging="709" w:left="709" w:right="0"/>
      </w:pPr>
      <w:r>
        <w:rPr>
          <w:b w:val="false"/>
          <w:u w:val="single"/>
        </w:rPr>
        <w:t>Que le procès-verbal du 11 octobre soit adopté tel quel</w:t>
        <w:br/>
      </w:r>
      <w:r>
        <w:rPr>
          <w:b w:val="false"/>
        </w:rPr>
        <w:t>Proposée par l’AFESPED</w:t>
        <w:br/>
        <w:t>Appuyée par la SOGEECOM</w:t>
        <w:br/>
        <w:t>Adoptée à l’unanimité</w:t>
      </w:r>
    </w:p>
    <w:p>
      <w:pPr>
        <w:pStyle w:val="style0"/>
      </w:pPr>
      <w:r>
        <w:rPr>
          <w:sz w:val="24"/>
          <w:szCs w:val="24"/>
        </w:rPr>
        <w:t>2.0 Tour de table</w:t>
      </w:r>
    </w:p>
    <w:p>
      <w:pPr>
        <w:pStyle w:val="style0"/>
      </w:pPr>
      <w:r>
        <w:rPr>
          <w:sz w:val="24"/>
          <w:szCs w:val="24"/>
        </w:rPr>
        <w:t>3.0 Nouveaux Membres</w:t>
      </w:r>
    </w:p>
    <w:p>
      <w:pPr>
        <w:pStyle w:val="style0"/>
        <w:ind w:hanging="709" w:left="709" w:right="0"/>
      </w:pPr>
      <w:r>
        <w:rPr>
          <w:b w:val="false"/>
          <w:u w:val="single"/>
        </w:rPr>
        <w:t xml:space="preserve">Que l’AFELC devienne membre du CRAM </w:t>
        <w:br/>
      </w:r>
      <w:r>
        <w:rPr>
          <w:b w:val="false"/>
        </w:rPr>
        <w:t>Proposée par l’AFESPED</w:t>
        <w:br/>
        <w:t>Appuyée par le SECMV</w:t>
        <w:br/>
        <w:t>Adoptée à l’unanimité</w:t>
      </w:r>
    </w:p>
    <w:p>
      <w:pPr>
        <w:pStyle w:val="style0"/>
        <w:ind w:hanging="709" w:left="709" w:right="0"/>
      </w:pPr>
      <w:r>
        <w:rPr>
          <w:b w:val="false"/>
          <w:u w:val="single"/>
        </w:rPr>
        <w:t>Que l’AESS-UQAM devienne membre du CRAM</w:t>
        <w:br/>
      </w:r>
      <w:r>
        <w:rPr>
          <w:b w:val="false"/>
        </w:rPr>
        <w:t>Proposée par la SOGEECOM</w:t>
        <w:br/>
        <w:t>Appuyée par l’AFESH</w:t>
        <w:br/>
        <w:t>Adoptée à l’unanimité</w:t>
      </w:r>
    </w:p>
    <w:p>
      <w:pPr>
        <w:pStyle w:val="style0"/>
        <w:ind w:hanging="709" w:left="709" w:right="0"/>
      </w:pPr>
      <w:r>
        <w:rPr>
          <w:sz w:val="24"/>
          <w:szCs w:val="24"/>
        </w:rPr>
        <w:t>4.0 Retour sur la semaine d’actions</w:t>
      </w:r>
    </w:p>
    <w:p>
      <w:pPr>
        <w:pStyle w:val="style0"/>
        <w:ind w:hanging="709" w:left="709" w:right="0"/>
      </w:pPr>
      <w:r>
        <w:rPr>
          <w:sz w:val="24"/>
          <w:szCs w:val="24"/>
        </w:rPr>
        <w:t>5.0 Manifestation du 10 novembre</w:t>
      </w:r>
    </w:p>
    <w:p>
      <w:pPr>
        <w:pStyle w:val="style0"/>
      </w:pPr>
      <w:r>
        <w:rPr>
          <w:sz w:val="24"/>
          <w:szCs w:val="24"/>
        </w:rPr>
        <w:t>6.0 Conseil de coordination</w:t>
        <w:br/>
      </w:r>
      <w:r>
        <w:rPr/>
        <w:t>6.1 Retour sur le dernier CoCo</w:t>
        <w:br/>
        <w:t>6.2 Prochain CoCo</w:t>
      </w:r>
    </w:p>
    <w:p>
      <w:pPr>
        <w:pStyle w:val="style0"/>
      </w:pPr>
      <w:r>
        <w:rPr>
          <w:sz w:val="24"/>
          <w:szCs w:val="24"/>
        </w:rPr>
        <w:t>7.0 Bilan et budget du CRAM</w:t>
      </w:r>
    </w:p>
    <w:p>
      <w:pPr>
        <w:pStyle w:val="style0"/>
        <w:ind w:hanging="709" w:left="709" w:right="0"/>
      </w:pPr>
      <w:r>
        <w:rPr>
          <w:b w:val="false"/>
          <w:u w:val="single"/>
        </w:rPr>
        <w:t>Que les prévisions budgétaires 2011-2012 du CRAM soit composées d’un seul poste de dépense de 2000$ : actions et mobilisation.</w:t>
      </w:r>
      <w:r>
        <w:rPr>
          <w:b w:val="false"/>
        </w:rPr>
        <w:br/>
        <w:t>Proposée par l’AFESH-UQAM</w:t>
        <w:br/>
        <w:t>Appuyée par l’AGECVM</w:t>
        <w:br/>
        <w:t>Adopté à l’unanimité</w:t>
      </w:r>
    </w:p>
    <w:p>
      <w:pPr>
        <w:pStyle w:val="style0"/>
      </w:pPr>
      <w:r>
        <w:rPr>
          <w:sz w:val="24"/>
          <w:szCs w:val="24"/>
        </w:rPr>
        <w:t>8.0 Congrès de l’ASSÉ</w:t>
      </w:r>
    </w:p>
    <w:p>
      <w:pPr>
        <w:pStyle w:val="style0"/>
      </w:pPr>
      <w:r>
        <w:rPr>
          <w:sz w:val="24"/>
          <w:szCs w:val="24"/>
        </w:rPr>
        <w:t>9.0 Suite du plan d’Action et perspective</w:t>
      </w:r>
    </w:p>
    <w:p>
      <w:pPr>
        <w:pStyle w:val="style0"/>
        <w:ind w:hanging="709" w:left="709" w:right="0"/>
      </w:pPr>
      <w:r>
        <w:rPr>
          <w:b w:val="false"/>
          <w:u w:val="single"/>
        </w:rPr>
        <w:t>9.0.1 Traitement de la mise en dépôt : Que l’action de perturbation du CRAM soit dans la semaine du 21 au 25 novembre</w:t>
      </w:r>
      <w:r>
        <w:rPr/>
        <w:br/>
      </w:r>
      <w:r>
        <w:rPr>
          <w:b w:val="false"/>
        </w:rPr>
        <w:t>Proposée par l’AEMSP-UQAM</w:t>
        <w:br/>
        <w:t>Appuyée par le RÉSUM</w:t>
      </w:r>
    </w:p>
    <w:p>
      <w:pPr>
        <w:pStyle w:val="style0"/>
        <w:ind w:hanging="709" w:left="709" w:right="0"/>
      </w:pPr>
      <w:r>
        <w:rPr>
          <w:b w:val="false"/>
          <w:u w:val="single"/>
        </w:rPr>
        <w:t>9.0.1.1 Amendement : biffer «21 au 25», remplacé par  «14 au 18»</w:t>
        <w:br/>
      </w:r>
      <w:r>
        <w:rPr>
          <w:b w:val="false"/>
        </w:rPr>
        <w:t>Proposée par l’AFÉA</w:t>
        <w:br/>
        <w:t>Appuyée par la SOGÉÉCOM</w:t>
        <w:br/>
        <w:t>Battu à majorité</w:t>
      </w:r>
    </w:p>
    <w:p>
      <w:pPr>
        <w:pStyle w:val="style0"/>
        <w:ind w:hanging="709" w:left="709" w:right="0"/>
      </w:pPr>
      <w:r>
        <w:rPr>
          <w:b w:val="false"/>
        </w:rPr>
        <w:br/>
      </w:r>
      <w:r>
        <w:rPr/>
        <w:t>Principale</w:t>
      </w:r>
      <w:r>
        <w:rPr>
          <w:b w:val="false"/>
        </w:rPr>
        <w:t>  adoptée à l’unanimité</w:t>
      </w:r>
    </w:p>
    <w:p>
      <w:pPr>
        <w:pStyle w:val="style0"/>
        <w:ind w:hanging="709" w:left="709" w:right="0"/>
      </w:pPr>
      <w:r>
        <w:rPr>
          <w:b w:val="false"/>
          <w:u w:val="single"/>
        </w:rPr>
        <w:t>9.0.2 Que le CRAM organise une action de promotion de la grève générale illimitée à la fin du mois de janvier ou au début du mois de février.</w:t>
        <w:br/>
      </w:r>
      <w:r>
        <w:rPr>
          <w:b w:val="false"/>
        </w:rPr>
        <w:t>Proposée par le SECMV</w:t>
        <w:br/>
        <w:t>Appuyée par l’AECSL</w:t>
      </w:r>
    </w:p>
    <w:p>
      <w:pPr>
        <w:pStyle w:val="style0"/>
        <w:ind w:hanging="709" w:left="709" w:right="0"/>
      </w:pPr>
      <w:r>
        <w:rPr>
          <w:b w:val="false"/>
          <w:u w:val="single"/>
        </w:rPr>
        <w:t>9.0.2.1 Amendement : ajouter « ou semaine d’action » après « une action »</w:t>
        <w:br/>
      </w:r>
      <w:r>
        <w:rPr>
          <w:b w:val="false"/>
        </w:rPr>
        <w:t>Proposé par l’AFESPED</w:t>
        <w:br/>
        <w:t xml:space="preserve">Appuyé par l’AFELC </w:t>
        <w:br/>
        <w:t>Adopté à l’unanimité</w:t>
        <w:br/>
      </w:r>
    </w:p>
    <w:p>
      <w:pPr>
        <w:pStyle w:val="style0"/>
      </w:pPr>
      <w:r>
        <w:rPr/>
        <w:t>Principale</w:t>
      </w:r>
      <w:r>
        <w:rPr>
          <w:b w:val="false"/>
        </w:rPr>
        <w:t xml:space="preserve"> adoptée à Majorité</w:t>
      </w:r>
    </w:p>
    <w:p>
      <w:pPr>
        <w:pStyle w:val="style0"/>
      </w:pPr>
      <w:r>
        <w:rPr>
          <w:sz w:val="24"/>
          <w:szCs w:val="24"/>
        </w:rPr>
        <w:t>10.0 Prochaine Réunion</w:t>
      </w:r>
    </w:p>
    <w:p>
      <w:pPr>
        <w:pStyle w:val="style0"/>
      </w:pPr>
      <w:r>
        <w:rPr>
          <w:b w:val="false"/>
          <w:u w:val="single"/>
        </w:rPr>
        <w:t>10.0.1 Que le prochain CRAM se tienne à l’UdeM et que l’ADEPUM en soit les hôtes</w:t>
        <w:br/>
      </w:r>
      <w:r>
        <w:rPr>
          <w:b w:val="false"/>
        </w:rPr>
        <w:tab/>
        <w:t>Proposée par Anthropo-UdeM</w:t>
        <w:br/>
        <w:tab/>
        <w:t>Appuyée par AFESPED-UQAM</w:t>
      </w:r>
    </w:p>
    <w:p>
      <w:pPr>
        <w:pStyle w:val="style0"/>
      </w:pPr>
      <w:r>
        <w:rPr>
          <w:b w:val="false"/>
          <w:u w:val="single"/>
        </w:rPr>
        <w:t>10.0.1.1 Amendement : ajouter « le mardi 15 novembre à 18h30»</w:t>
        <w:br/>
      </w:r>
      <w:r>
        <w:rPr>
          <w:b w:val="false"/>
        </w:rPr>
        <w:tab/>
        <w:t>Proposé par l’AESS-QUAM</w:t>
        <w:br/>
        <w:tab/>
        <w:t>Appuyé par la SOGEECOM</w:t>
      </w:r>
    </w:p>
    <w:p>
      <w:pPr>
        <w:pStyle w:val="style0"/>
      </w:pPr>
      <w:r>
        <w:rPr>
          <w:b w:val="false"/>
        </w:rPr>
        <w:br/>
      </w:r>
      <w:r>
        <w:rPr>
          <w:b w:val="false"/>
          <w:u w:val="single"/>
        </w:rPr>
        <w:t>10.0.1.1.1 Sous-Amendement : remplacer « mardi 15 » par « mercredi 16 »</w:t>
        <w:br/>
      </w:r>
      <w:r>
        <w:rPr>
          <w:b w:val="false"/>
        </w:rPr>
        <w:tab/>
        <w:t>Proposé par le SECMV</w:t>
        <w:br/>
        <w:tab/>
        <w:t>Appuyé par l’AECSL</w:t>
      </w:r>
    </w:p>
    <w:p>
      <w:pPr>
        <w:pStyle w:val="style0"/>
      </w:pPr>
      <w:r>
        <w:rPr/>
        <w:t>Sous-amendent</w:t>
      </w:r>
      <w:r>
        <w:rPr>
          <w:b w:val="false"/>
        </w:rPr>
        <w:t xml:space="preserve"> (10.0.1.1.1 ) adopté à l’unanimité</w:t>
      </w:r>
    </w:p>
    <w:p>
      <w:pPr>
        <w:pStyle w:val="style0"/>
      </w:pPr>
      <w:r>
        <w:rPr/>
        <w:t xml:space="preserve">Amendement </w:t>
      </w:r>
      <w:r>
        <w:rPr>
          <w:b w:val="false"/>
        </w:rPr>
        <w:t>(10.0.1.1 ) adopté à l’unanimité</w:t>
      </w:r>
    </w:p>
    <w:p>
      <w:pPr>
        <w:pStyle w:val="style0"/>
      </w:pPr>
      <w:r>
        <w:rPr/>
        <w:t>Principale</w:t>
      </w:r>
      <w:r>
        <w:rPr>
          <w:b w:val="false"/>
        </w:rPr>
        <w:t xml:space="preserve"> (10.0.1 ) adoptée à l’unanimité</w:t>
      </w:r>
    </w:p>
    <w:p>
      <w:pPr>
        <w:pStyle w:val="style0"/>
      </w:pPr>
      <w:r>
        <w:rPr>
          <w:sz w:val="24"/>
          <w:szCs w:val="24"/>
        </w:rPr>
        <w:t>11.0 Varia</w:t>
      </w:r>
    </w:p>
    <w:p>
      <w:pPr>
        <w:pStyle w:val="style0"/>
      </w:pPr>
      <w:r>
        <w:rPr>
          <w:sz w:val="24"/>
          <w:szCs w:val="24"/>
        </w:rPr>
        <w:t>12.0 Levée</w:t>
      </w:r>
    </w:p>
    <w:p>
      <w:pPr>
        <w:pStyle w:val="style0"/>
      </w:pPr>
      <w:r>
        <w:rPr>
          <w:b w:val="false"/>
          <w:u w:val="single"/>
        </w:rPr>
        <w:t>12.0.1 Proposition de levée</w:t>
      </w:r>
      <w:r>
        <w:rPr/>
        <w:br/>
        <w:tab/>
      </w:r>
      <w:r>
        <w:rPr>
          <w:b w:val="false"/>
        </w:rPr>
        <w:t>Proposé par l’AFESH-UQAM</w:t>
      </w:r>
      <w:r>
        <w:rPr/>
        <w:br/>
        <w:tab/>
      </w:r>
      <w:r>
        <w:rPr>
          <w:b w:val="false"/>
        </w:rPr>
        <w:t>Appuyé par AFESPED</w:t>
        <w:br/>
        <w:tab/>
        <w:t>Adopté à l’unanimité</w:t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0"/>
      <w:lvlJc w:val="left"/>
      <w:pPr>
        <w:ind w:hanging="360" w:left="360"/>
      </w:pPr>
    </w:lvl>
    <w:lvl w:ilvl="1">
      <w:start w:val="1"/>
      <w:numFmt w:val="decimal"/>
      <w:lvlText w:val="%1.%2"/>
      <w:lvlJc w:val="left"/>
      <w:pPr>
        <w:ind w:hanging="360" w:left="1068"/>
      </w:pPr>
    </w:lvl>
    <w:lvl w:ilvl="2">
      <w:start w:val="1"/>
      <w:numFmt w:val="decimal"/>
      <w:lvlText w:val="%1.%2.%3"/>
      <w:lvlJc w:val="left"/>
      <w:pPr>
        <w:ind w:hanging="720" w:left="2136"/>
      </w:pPr>
    </w:lvl>
    <w:lvl w:ilvl="3">
      <w:start w:val="1"/>
      <w:numFmt w:val="decimal"/>
      <w:lvlText w:val="%1.%2.%3.%4"/>
      <w:lvlJc w:val="left"/>
      <w:pPr>
        <w:ind w:hanging="720" w:left="2844"/>
      </w:pPr>
    </w:lvl>
    <w:lvl w:ilvl="4">
      <w:start w:val="1"/>
      <w:numFmt w:val="decimal"/>
      <w:lvlText w:val="%1.%2.%3.%4.%5"/>
      <w:lvlJc w:val="left"/>
      <w:pPr>
        <w:ind w:hanging="1080" w:left="3912"/>
      </w:pPr>
    </w:lvl>
    <w:lvl w:ilvl="5">
      <w:start w:val="1"/>
      <w:numFmt w:val="decimal"/>
      <w:lvlText w:val="%1.%2.%3.%4.%5.%6"/>
      <w:lvlJc w:val="left"/>
      <w:pPr>
        <w:ind w:hanging="1080" w:left="4620"/>
      </w:pPr>
    </w:lvl>
    <w:lvl w:ilvl="6">
      <w:start w:val="1"/>
      <w:numFmt w:val="decimal"/>
      <w:lvlText w:val="%1.%2.%3.%4.%5.%6.%7"/>
      <w:lvlJc w:val="left"/>
      <w:pPr>
        <w:ind w:hanging="1440" w:left="5688"/>
      </w:pPr>
    </w:lvl>
    <w:lvl w:ilvl="7">
      <w:start w:val="1"/>
      <w:numFmt w:val="decimal"/>
      <w:lvlText w:val="%1.%2.%3.%4.%5.%6.%7.%8"/>
      <w:lvlJc w:val="left"/>
      <w:pPr>
        <w:ind w:hanging="1440" w:left="6396"/>
      </w:pPr>
    </w:lvl>
    <w:lvl w:ilvl="8">
      <w:start w:val="1"/>
      <w:numFmt w:val="decimal"/>
      <w:lvlText w:val="%1.%2.%3.%4.%5.%6.%7.%8.%9"/>
      <w:lvlJc w:val="left"/>
      <w:pPr>
        <w:ind w:hanging="1440" w:left="7104"/>
      </w:pPr>
    </w:lvl>
  </w:abstractNum>
  <w:abstractNum w:abstractNumId="3">
    <w:lvl w:ilvl="0">
      <w:start w:val="6"/>
      <w:numFmt w:val="decimal"/>
      <w:lvlText w:val="%1.0"/>
      <w:lvlJc w:val="left"/>
      <w:pPr>
        <w:ind w:hanging="360" w:left="786"/>
      </w:pPr>
    </w:lvl>
    <w:lvl w:ilvl="1">
      <w:start w:val="1"/>
      <w:numFmt w:val="decimal"/>
      <w:lvlText w:val="%1.%2"/>
      <w:lvlJc w:val="left"/>
      <w:pPr>
        <w:ind w:hanging="360" w:left="1494"/>
      </w:pPr>
    </w:lvl>
    <w:lvl w:ilvl="2">
      <w:start w:val="1"/>
      <w:numFmt w:val="decimal"/>
      <w:lvlText w:val="%1.%2.%3"/>
      <w:lvlJc w:val="left"/>
      <w:pPr>
        <w:ind w:hanging="720" w:left="2562"/>
      </w:pPr>
    </w:lvl>
    <w:lvl w:ilvl="3">
      <w:start w:val="1"/>
      <w:numFmt w:val="decimal"/>
      <w:lvlText w:val="%1.%2.%3.%4"/>
      <w:lvlJc w:val="left"/>
      <w:pPr>
        <w:ind w:hanging="720" w:left="3270"/>
      </w:pPr>
    </w:lvl>
    <w:lvl w:ilvl="4">
      <w:start w:val="1"/>
      <w:numFmt w:val="decimal"/>
      <w:lvlText w:val="%1.%2.%3.%4.%5"/>
      <w:lvlJc w:val="left"/>
      <w:pPr>
        <w:ind w:hanging="1080" w:left="4338"/>
      </w:pPr>
    </w:lvl>
    <w:lvl w:ilvl="5">
      <w:start w:val="1"/>
      <w:numFmt w:val="decimal"/>
      <w:lvlText w:val="%1.%2.%3.%4.%5.%6"/>
      <w:lvlJc w:val="left"/>
      <w:pPr>
        <w:ind w:hanging="1080" w:left="5046"/>
      </w:pPr>
    </w:lvl>
    <w:lvl w:ilvl="6">
      <w:start w:val="1"/>
      <w:numFmt w:val="decimal"/>
      <w:lvlText w:val="%1.%2.%3.%4.%5.%6.%7"/>
      <w:lvlJc w:val="left"/>
      <w:pPr>
        <w:ind w:hanging="1440" w:left="6114"/>
      </w:pPr>
    </w:lvl>
    <w:lvl w:ilvl="7">
      <w:start w:val="1"/>
      <w:numFmt w:val="decimal"/>
      <w:lvlText w:val="%1.%2.%3.%4.%5.%6.%7.%8"/>
      <w:lvlJc w:val="left"/>
      <w:pPr>
        <w:ind w:hanging="1440" w:left="6822"/>
      </w:pPr>
    </w:lvl>
    <w:lvl w:ilvl="8">
      <w:start w:val="1"/>
      <w:numFmt w:val="decimal"/>
      <w:lvlText w:val="%1.%2.%3.%4.%5.%6.%7.%8.%9"/>
      <w:lvlJc w:val="left"/>
      <w:pPr>
        <w:ind w:hanging="1440" w:left="753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WenQuanYi Micro Hei" w:hAnsi="Calibri"/>
      <w:color w:val="auto"/>
      <w:sz w:val="22"/>
      <w:szCs w:val="22"/>
      <w:lang w:bidi="ar-SA" w:eastAsia="en-US" w:val="fr-CA"/>
    </w:rPr>
  </w:style>
  <w:style w:styleId="style1" w:type="paragraph">
    <w:name w:val="Titre 1"/>
    <w:basedOn w:val="style0"/>
    <w:next w:val="style21"/>
    <w:pPr>
      <w:keepNext/>
      <w:keepLines/>
      <w:spacing w:after="0" w:before="480"/>
    </w:pPr>
    <w:rPr>
      <w:rFonts w:ascii="Cambria" w:cs="" w:hAnsi="Cambria"/>
      <w:b/>
      <w:bCs/>
      <w:color w:val="365F91"/>
      <w:sz w:val="28"/>
      <w:szCs w:val="28"/>
    </w:rPr>
  </w:style>
  <w:style w:styleId="style2" w:type="paragraph">
    <w:name w:val="Titre 2"/>
    <w:basedOn w:val="style0"/>
    <w:next w:val="style21"/>
    <w:pPr>
      <w:keepNext/>
      <w:keepLines/>
      <w:numPr>
        <w:ilvl w:val="1"/>
        <w:numId w:val="1"/>
      </w:numPr>
      <w:spacing w:after="0" w:before="200"/>
      <w:outlineLvl w:val="1"/>
    </w:pPr>
    <w:rPr>
      <w:rFonts w:ascii="Cambria" w:cs="" w:hAnsi="Cambria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Title Char"/>
    <w:basedOn w:val="style15"/>
    <w:next w:val="style16"/>
    <w:rPr>
      <w:rFonts w:ascii="Cambria" w:cs="" w:hAnsi="Cambria"/>
      <w:color w:val="17365D"/>
      <w:spacing w:val="5"/>
      <w:sz w:val="52"/>
      <w:szCs w:val="52"/>
    </w:rPr>
  </w:style>
  <w:style w:styleId="style17" w:type="character">
    <w:name w:val="Heading 2 Char"/>
    <w:basedOn w:val="style15"/>
    <w:next w:val="style17"/>
    <w:rPr>
      <w:rFonts w:ascii="Cambria" w:cs="" w:hAnsi="Cambria"/>
      <w:b/>
      <w:bCs/>
      <w:color w:val="4F81BD"/>
      <w:sz w:val="26"/>
      <w:szCs w:val="26"/>
    </w:rPr>
  </w:style>
  <w:style w:styleId="style18" w:type="character">
    <w:name w:val="Heading 1 Char"/>
    <w:basedOn w:val="style15"/>
    <w:next w:val="style18"/>
    <w:rPr>
      <w:rFonts w:ascii="Cambria" w:cs="" w:hAnsi="Cambria"/>
      <w:b/>
      <w:bCs/>
      <w:color w:val="365F91"/>
      <w:sz w:val="28"/>
      <w:szCs w:val="28"/>
    </w:rPr>
  </w:style>
  <w:style w:styleId="style19" w:type="character">
    <w:name w:val="Accentuation forte"/>
    <w:basedOn w:val="style15"/>
    <w:next w:val="style19"/>
    <w:rPr>
      <w:b/>
      <w:bCs/>
    </w:rPr>
  </w:style>
  <w:style w:styleId="style20" w:type="paragraph">
    <w:name w:val="Titre"/>
    <w:basedOn w:val="style0"/>
    <w:next w:val="style21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1" w:type="paragraph">
    <w:name w:val="Corps de texte"/>
    <w:basedOn w:val="style0"/>
    <w:next w:val="style21"/>
    <w:pPr>
      <w:spacing w:after="120" w:before="0"/>
    </w:pPr>
    <w:rPr/>
  </w:style>
  <w:style w:styleId="style22" w:type="paragraph">
    <w:name w:val="Liste"/>
    <w:basedOn w:val="style21"/>
    <w:next w:val="style22"/>
    <w:pPr/>
    <w:rPr>
      <w:rFonts w:cs="Lohit Hindi"/>
    </w:rPr>
  </w:style>
  <w:style w:styleId="style23" w:type="paragraph">
    <w:name w:val="Légende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Lohit Hindi"/>
    </w:rPr>
  </w:style>
  <w:style w:styleId="style25" w:type="paragraph">
    <w:name w:val="Titre principal"/>
    <w:basedOn w:val="style0"/>
    <w:next w:val="style26"/>
    <w:pPr>
      <w:pBdr>
        <w:bottom w:color="4F81BD" w:space="0" w:sz="8" w:val="single"/>
      </w:pBdr>
      <w:spacing w:after="300" w:before="0" w:line="100" w:lineRule="atLeast"/>
      <w:jc w:val="center"/>
    </w:pPr>
    <w:rPr>
      <w:rFonts w:ascii="Cambria" w:cs="" w:hAnsi="Cambria"/>
      <w:b/>
      <w:bCs/>
      <w:color w:val="17365D"/>
      <w:spacing w:val="5"/>
      <w:sz w:val="52"/>
      <w:szCs w:val="52"/>
    </w:rPr>
  </w:style>
  <w:style w:styleId="style26" w:type="paragraph">
    <w:name w:val="Sous-titre"/>
    <w:basedOn w:val="style20"/>
    <w:next w:val="style21"/>
    <w:pPr>
      <w:jc w:val="center"/>
    </w:pPr>
    <w:rPr>
      <w:i/>
      <w:iCs/>
      <w:sz w:val="28"/>
      <w:szCs w:val="28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  <w:style w:styleId="style28" w:type="paragraph">
    <w:name w:val="Normal (Web)"/>
    <w:basedOn w:val="style0"/>
    <w:next w:val="style2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fr-C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2011-10-26T22:57:00.00Z</dcterms:created>
  <dc:creator>Drav</dc:creator>
  <cp:lastModifiedBy>Drav</cp:lastModifiedBy>
  <dcterms:modified xsi:type="dcterms:W3CDTF">2011-10-27T18:04:00.00Z</dcterms:modified>
  <cp:revision>54</cp:revision>
</cp:coreProperties>
</file>