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0A4FA" w14:textId="77777777" w:rsidR="007A2C40" w:rsidRDefault="007A2C40">
      <w:pPr>
        <w:jc w:val="right"/>
      </w:pPr>
    </w:p>
    <w:p w14:paraId="6EB5D718" w14:textId="77777777" w:rsidR="007A2C40" w:rsidRDefault="00010FF3">
      <w:pPr>
        <w:jc w:val="right"/>
        <w:rPr>
          <w:b/>
          <w:bCs/>
          <w:u w:val="single"/>
        </w:rPr>
      </w:pPr>
      <w:r>
        <w:t>Mars</w:t>
      </w:r>
      <w:bookmarkStart w:id="0" w:name="_GoBack"/>
      <w:bookmarkEnd w:id="0"/>
      <w:r>
        <w:t xml:space="preserve"> 2016</w:t>
      </w:r>
    </w:p>
    <w:p w14:paraId="5109B079" w14:textId="77777777" w:rsidR="007A2C40" w:rsidRDefault="00010FF3">
      <w:pPr>
        <w:jc w:val="center"/>
        <w:rPr>
          <w:b/>
          <w:bCs/>
          <w:u w:val="single"/>
        </w:rPr>
      </w:pPr>
      <w:r>
        <w:t>PROPOSITION DE MODIFICATION DU MANDAT DU FONDS DES ARRÊTÉ-E-S DE L'ASSÉ</w:t>
      </w:r>
    </w:p>
    <w:p w14:paraId="7BC3FC6D" w14:textId="77777777" w:rsidR="007A2C40" w:rsidRDefault="007A2C40"/>
    <w:p w14:paraId="28B7E613" w14:textId="77777777" w:rsidR="007A2C40" w:rsidRDefault="00010FF3">
      <w:pPr>
        <w:jc w:val="center"/>
      </w:pPr>
      <w:r>
        <w:rPr>
          <w:b/>
          <w:bCs/>
          <w:u w:val="single"/>
        </w:rPr>
        <w:t>ANNEXE I : FONDS DES ARRÊTÉ-E-S</w:t>
      </w:r>
    </w:p>
    <w:p w14:paraId="32021FC6" w14:textId="77777777" w:rsidR="007A2C40" w:rsidRDefault="007A2C40">
      <w:pPr>
        <w:rPr>
          <w:b/>
          <w:bCs/>
          <w:u w:val="single"/>
        </w:rPr>
      </w:pPr>
    </w:p>
    <w:p w14:paraId="1689C39A" w14:textId="77777777" w:rsidR="007A2C40" w:rsidRDefault="00010FF3">
      <w:r>
        <w:rPr>
          <w:b/>
          <w:bCs/>
          <w:u w:val="single"/>
        </w:rPr>
        <w:t>Article A27 :PRINCIPES</w:t>
      </w:r>
    </w:p>
    <w:p w14:paraId="3E21A82A" w14:textId="77777777" w:rsidR="007A2C40" w:rsidRDefault="00010FF3">
      <w:r>
        <w:t xml:space="preserve">Le fonds est solidaire avec toutes les personnes </w:t>
      </w:r>
      <w:r>
        <w:rPr>
          <w:shd w:val="clear" w:color="auto" w:fill="FFFFFF"/>
        </w:rPr>
        <w:t>arrêtées</w:t>
      </w:r>
      <w:r>
        <w:t xml:space="preserve"> dans le cadre de manifestations et d'</w:t>
      </w:r>
      <w:r>
        <w:t>actions en accord avec les principes et les revendications de l'ASSÉ, et celles visées par des mesures administratives ou disciplinaires par des administrations d'établissements d'enseignement, peu importe leur rôle dans l’organisation ou leur position pol</w:t>
      </w:r>
      <w:r>
        <w:t xml:space="preserve">itique. </w:t>
      </w:r>
    </w:p>
    <w:p w14:paraId="2C3D1618" w14:textId="77777777" w:rsidR="007A2C40" w:rsidRDefault="00010FF3">
      <w:r>
        <w:t>Le fonds considère que ces personnes ont droit à un soutien humain, financier et logistique. Le comité légal de l'ASSÉ tente de répondre à l'ensemble des besoins exprimés par elles et considère qu'aucune personne ne devrait être contrainte de plai</w:t>
      </w:r>
      <w:r>
        <w:t>der coupable à une accusation en raison d’un manque de ressources.</w:t>
      </w:r>
    </w:p>
    <w:p w14:paraId="3E857175" w14:textId="77777777" w:rsidR="007A2C40" w:rsidRDefault="007A2C40"/>
    <w:p w14:paraId="205E6E12" w14:textId="77777777" w:rsidR="007A2C40" w:rsidRDefault="00010FF3">
      <w:r>
        <w:rPr>
          <w:b/>
          <w:bCs/>
          <w:u w:val="single"/>
        </w:rPr>
        <w:t>Article A28 : CRITÈRES</w:t>
      </w:r>
    </w:p>
    <w:p w14:paraId="61B176D6" w14:textId="77777777" w:rsidR="007A2C40" w:rsidRDefault="00010FF3">
      <w:r>
        <w:t xml:space="preserve">Le fonds est principalement destiné aux personnes </w:t>
      </w:r>
      <w:r>
        <w:rPr>
          <w:shd w:val="clear" w:color="auto" w:fill="FFFFFF"/>
        </w:rPr>
        <w:t>arrêtées</w:t>
      </w:r>
      <w:r>
        <w:t xml:space="preserve"> dans le cadre de manifestations et d'actions en accord avec les principes et les revendications de l'ASSÉ,</w:t>
      </w:r>
      <w:r>
        <w:t xml:space="preserve"> et à celles visées par des mesures administratives ou disciplinaires par des administrations d'établissements d'enseignement, et qui ont établi un contact avec le comité légal de l'ASSÉ.</w:t>
      </w:r>
    </w:p>
    <w:p w14:paraId="7028E8D3" w14:textId="77777777" w:rsidR="007A2C40" w:rsidRDefault="00010FF3">
      <w:r>
        <w:t>• Les ressources financières sont allouées aux personnes qui en font</w:t>
      </w:r>
      <w:r>
        <w:t xml:space="preserve"> la demande en fonction des priorités suivantes :</w:t>
      </w:r>
    </w:p>
    <w:p w14:paraId="6C78D4DF" w14:textId="77777777" w:rsidR="007A2C40" w:rsidRDefault="00010FF3">
      <w:r>
        <w:t>1. Aux personnes faisant face à des accusations criminelles, en particulier celles qui engendrent un risque considérable d'emprisonnement;</w:t>
      </w:r>
    </w:p>
    <w:p w14:paraId="728B5057" w14:textId="77777777" w:rsidR="007A2C40" w:rsidRDefault="00010FF3">
      <w:pPr>
        <w:rPr>
          <w:shd w:val="clear" w:color="auto" w:fill="FFFFFF"/>
        </w:rPr>
      </w:pPr>
      <w:r>
        <w:rPr>
          <w:shd w:val="clear" w:color="auto" w:fill="FFFFFF"/>
        </w:rPr>
        <w:tab/>
        <w:t>1.1 Procès individuel : en cas de refus à l'Aide juridique, le Fon</w:t>
      </w:r>
      <w:r>
        <w:rPr>
          <w:shd w:val="clear" w:color="auto" w:fill="FFFFFF"/>
        </w:rPr>
        <w:t xml:space="preserve">ds couvre tous les frais liés à la défense. En cas d'obtention d'un mandat </w:t>
      </w:r>
      <w:r>
        <w:rPr>
          <w:shd w:val="clear" w:color="auto" w:fill="FFFFFF"/>
        </w:rPr>
        <w:tab/>
        <w:t>de l'Aide juridique avec contribution, le Fonds couvre le montant de la contribution demandée;</w:t>
      </w:r>
    </w:p>
    <w:p w14:paraId="65961802" w14:textId="77777777" w:rsidR="007A2C40" w:rsidRDefault="00010FF3">
      <w:r>
        <w:rPr>
          <w:shd w:val="clear" w:color="auto" w:fill="FFFFFF"/>
        </w:rPr>
        <w:tab/>
        <w:t>1.2 Procès commun de plusieurs personnes (arrestation de masse au criminel ou arrest</w:t>
      </w:r>
      <w:r>
        <w:rPr>
          <w:shd w:val="clear" w:color="auto" w:fill="FFFFFF"/>
        </w:rPr>
        <w:t xml:space="preserve">ations individuelles au criminel lors d'un même </w:t>
      </w:r>
      <w:r>
        <w:rPr>
          <w:shd w:val="clear" w:color="auto" w:fill="FFFFFF"/>
        </w:rPr>
        <w:tab/>
        <w:t xml:space="preserve">événement) : le soutien du Fonds est déterminé en fonction, notamment, des critères suivants : nombre de personnes arrêtées - nombre </w:t>
      </w:r>
      <w:r>
        <w:rPr>
          <w:shd w:val="clear" w:color="auto" w:fill="FFFFFF"/>
        </w:rPr>
        <w:tab/>
        <w:t>de mandats obtenus auprès de l'Aide juridique - nombre d'avocat-e-s repré</w:t>
      </w:r>
      <w:r>
        <w:rPr>
          <w:shd w:val="clear" w:color="auto" w:fill="FFFFFF"/>
        </w:rPr>
        <w:t>sentant le groupe - durée et complexité du dossier;</w:t>
      </w:r>
    </w:p>
    <w:p w14:paraId="4A23EF0D" w14:textId="77777777" w:rsidR="007A2C40" w:rsidRDefault="00010FF3">
      <w:pPr>
        <w:rPr>
          <w:shd w:val="clear" w:color="auto" w:fill="FFFFFF"/>
        </w:rPr>
      </w:pPr>
      <w:r>
        <w:rPr>
          <w:shd w:val="clear" w:color="auto" w:fill="FFFFFF"/>
        </w:rPr>
        <w:lastRenderedPageBreak/>
        <w:t>2. Aux personnes faisant face à des mesures administratives ou disciplinaires par des administrations d'établissements d'enseignement, telles que les expulsions ou les menaces d'expulsion;</w:t>
      </w:r>
    </w:p>
    <w:p w14:paraId="5F9695E5" w14:textId="77777777" w:rsidR="007A2C40" w:rsidRDefault="00010FF3">
      <w:r>
        <w:rPr>
          <w:shd w:val="clear" w:color="auto" w:fill="FFFFFF"/>
        </w:rPr>
        <w:t>3. Aux personne</w:t>
      </w:r>
      <w:r>
        <w:rPr>
          <w:shd w:val="clear" w:color="auto" w:fill="FFFFFF"/>
        </w:rPr>
        <w:t>s faisant face à des accusations pénales (ex. : contraventions, arrestations de masse);</w:t>
      </w:r>
    </w:p>
    <w:p w14:paraId="2F0159AB" w14:textId="77777777" w:rsidR="007A2C40" w:rsidRDefault="00010FF3">
      <w:r>
        <w:rPr>
          <w:shd w:val="clear" w:color="auto" w:fill="FFFFFF"/>
        </w:rPr>
        <w:t>4. Aux personnes ciblées pour leur rôle dans l’organisation politique.</w:t>
      </w:r>
    </w:p>
    <w:p w14:paraId="61D9C90A" w14:textId="77777777" w:rsidR="007A2C40" w:rsidRDefault="00010FF3">
      <w:r>
        <w:t>Considérant les transformations et l'expansion des formes de répression, le comité légal de l'ASS</w:t>
      </w:r>
      <w:r>
        <w:t>É dispose d'une flexibilité dans l'application de ses mandats, orientée vers la préoccupation d'apporter son soutien aux personnes visées par de nouvelles formes de répression.</w:t>
      </w:r>
    </w:p>
    <w:p w14:paraId="7B026F41" w14:textId="77777777" w:rsidR="007A2C40" w:rsidRDefault="007A2C40"/>
    <w:p w14:paraId="2772FCA9" w14:textId="77777777" w:rsidR="007A2C40" w:rsidRDefault="00010FF3">
      <w:r>
        <w:t>• Dans l'évaluation des demandes de soutien financier, le comité prend en cons</w:t>
      </w:r>
      <w:r>
        <w:t xml:space="preserve">idération les critères suivants : </w:t>
      </w:r>
    </w:p>
    <w:p w14:paraId="0153B68A" w14:textId="77777777" w:rsidR="007A2C40" w:rsidRDefault="00010FF3">
      <w:r>
        <w:t>- Les autres ressources (Aide juridique, associations locales, etc.) auxquelles les personnes ont accès;</w:t>
      </w:r>
    </w:p>
    <w:p w14:paraId="038E8921" w14:textId="77777777" w:rsidR="007A2C40" w:rsidRDefault="00010FF3">
      <w:pPr>
        <w:rPr>
          <w:shd w:val="clear" w:color="auto" w:fill="FFFFFF"/>
        </w:rPr>
      </w:pPr>
      <w:r>
        <w:rPr>
          <w:shd w:val="clear" w:color="auto" w:fill="FFFFFF"/>
        </w:rPr>
        <w:t>- Les risques pour les individu-e-s ciblé-e-s et les impacts sur leur vie;</w:t>
      </w:r>
    </w:p>
    <w:p w14:paraId="0E2F64ED" w14:textId="77777777" w:rsidR="007A2C40" w:rsidRDefault="00010FF3">
      <w:r>
        <w:t>- Le profilage politique;</w:t>
      </w:r>
    </w:p>
    <w:p w14:paraId="4B3F7DF8" w14:textId="77777777" w:rsidR="007A2C40" w:rsidRDefault="00010FF3">
      <w:r>
        <w:t>- L'éq</w:t>
      </w:r>
      <w:r>
        <w:rPr>
          <w:shd w:val="clear" w:color="auto" w:fill="FFFFFF"/>
        </w:rPr>
        <w:t>uité entr</w:t>
      </w:r>
      <w:r>
        <w:rPr>
          <w:shd w:val="clear" w:color="auto" w:fill="FFFFFF"/>
        </w:rPr>
        <w:t>e les demandes;</w:t>
      </w:r>
    </w:p>
    <w:p w14:paraId="5DD0718F" w14:textId="77777777" w:rsidR="007A2C40" w:rsidRDefault="00010FF3">
      <w:r>
        <w:rPr>
          <w:shd w:val="clear" w:color="auto" w:fill="FFFFFF"/>
        </w:rPr>
        <w:t>- L'impact d'une décision juridiqu</w:t>
      </w:r>
      <w:r>
        <w:t>e sur les luttes en cours;</w:t>
      </w:r>
    </w:p>
    <w:p w14:paraId="20A15E88" w14:textId="77777777" w:rsidR="007A2C40" w:rsidRDefault="00010FF3">
      <w:r>
        <w:t>- Des considérations autres.</w:t>
      </w:r>
    </w:p>
    <w:p w14:paraId="69B44A3D" w14:textId="77777777" w:rsidR="007A2C40" w:rsidRDefault="007A2C40"/>
    <w:p w14:paraId="44910743" w14:textId="77777777" w:rsidR="007A2C40" w:rsidRDefault="00010FF3">
      <w:r>
        <w:rPr>
          <w:b/>
          <w:bCs/>
          <w:u w:val="single"/>
        </w:rPr>
        <w:t>Article A29 : FRAIS COUVERTS</w:t>
      </w:r>
    </w:p>
    <w:p w14:paraId="0AD06DE9" w14:textId="77777777" w:rsidR="007A2C40" w:rsidRDefault="00010FF3">
      <w:r>
        <w:t xml:space="preserve">Cette liste s'applique aux personnes qui se représentent de manière autonome  ainsi qu'aux personnes représentées par </w:t>
      </w:r>
      <w:r>
        <w:t>avocate ou avocat.</w:t>
      </w:r>
    </w:p>
    <w:p w14:paraId="79152B94" w14:textId="77777777" w:rsidR="007A2C40" w:rsidRDefault="00010FF3">
      <w:r>
        <w:t>1. Paiement des cautions de libération;</w:t>
      </w:r>
    </w:p>
    <w:p w14:paraId="3C35C5DA" w14:textId="77777777" w:rsidR="007A2C40" w:rsidRDefault="00010FF3">
      <w:r>
        <w:t>2. Honoraires des avocats et des avocates (une entente préalable avec le Comité légal est nécessaire);</w:t>
      </w:r>
    </w:p>
    <w:p w14:paraId="75F4040C" w14:textId="77777777" w:rsidR="007A2C40" w:rsidRDefault="00010FF3">
      <w:r>
        <w:t>3. Frais juridiques (transcriptions, etc.);</w:t>
      </w:r>
    </w:p>
    <w:p w14:paraId="2D4C47FB" w14:textId="77777777" w:rsidR="007A2C40" w:rsidRDefault="00010FF3">
      <w:r>
        <w:t>4. Frais logistiques (transport au lieu de l'audie</w:t>
      </w:r>
      <w:r>
        <w:t>nce, etc.);</w:t>
      </w:r>
    </w:p>
    <w:p w14:paraId="62723954" w14:textId="77777777" w:rsidR="007A2C40" w:rsidRDefault="00010FF3">
      <w:r>
        <w:t>5. Demandes d’accès à l’information;</w:t>
      </w:r>
    </w:p>
    <w:p w14:paraId="530E40DA" w14:textId="77777777" w:rsidR="007A2C40" w:rsidRDefault="00010FF3">
      <w:r>
        <w:t>6. Autres dépenses liées à la défense.</w:t>
      </w:r>
    </w:p>
    <w:p w14:paraId="64DAD644" w14:textId="77777777" w:rsidR="007A2C40" w:rsidRDefault="00010FF3">
      <w:r>
        <w:lastRenderedPageBreak/>
        <w:t>En cas d'urgence seulement, un prêt peut être accordé à une personne pour éviter qu'elle ne subisse des conséquences graves liées à sa judiciarisatio</w:t>
      </w:r>
      <w:r>
        <w:rPr>
          <w:shd w:val="clear" w:color="auto" w:fill="FFFFFF"/>
        </w:rPr>
        <w:t>n (ex. : débourseme</w:t>
      </w:r>
      <w:r>
        <w:rPr>
          <w:shd w:val="clear" w:color="auto" w:fill="FFFFFF"/>
        </w:rPr>
        <w:t>nt d'une amende suite à un plaidoyer de culpabilité ou un verdict de culpabilité).</w:t>
      </w:r>
    </w:p>
    <w:p w14:paraId="3A5ADE32" w14:textId="77777777" w:rsidR="007A2C40" w:rsidRDefault="007A2C40">
      <w:pPr>
        <w:rPr>
          <w:shd w:val="clear" w:color="auto" w:fill="FFFFFF"/>
        </w:rPr>
      </w:pPr>
    </w:p>
    <w:p w14:paraId="4B0B08CB" w14:textId="77777777" w:rsidR="007A2C40" w:rsidRDefault="00010FF3">
      <w:r>
        <w:rPr>
          <w:b/>
          <w:bCs/>
          <w:u w:val="single"/>
        </w:rPr>
        <w:t>Article A30 : CONFLIT D'INTÉRÊTS</w:t>
      </w:r>
    </w:p>
    <w:p w14:paraId="015D2B6B" w14:textId="77777777" w:rsidR="007A2C40" w:rsidRDefault="00010FF3">
      <w:r>
        <w:t>Les avocates et les avocats ne peuvent être élu-e-s au comité légal.  Les membres du comité doivent déclarer aux autres membres du comité t</w:t>
      </w:r>
      <w:r>
        <w:t>out conflit d'intérêt ou apparence de conflit d'intérêt lié à une prise de décision. Les membres du comité doivent se retirer des prises de décision dans les cas où ils et elles sont en conflit d'intérêt réel ou apparent. Le comité légal est redevable en t</w:t>
      </w:r>
      <w:r>
        <w:t xml:space="preserve">out temps aux instances de l'ASSÉ. </w:t>
      </w:r>
    </w:p>
    <w:p w14:paraId="6E5748E9" w14:textId="77777777" w:rsidR="007A2C40" w:rsidRDefault="00010FF3">
      <w:r>
        <w:t>Le comité approuve les règles édictées ci-dessus et veille à leur mise en application. Il doit recevoir et statuer sur les demandes de financement de défense légale. Il est aussi habilité à rembourser les dépenses accumu</w:t>
      </w:r>
      <w:r>
        <w:t>lées, sur présentation de factures et de reçus seulement.</w:t>
      </w:r>
    </w:p>
    <w:p w14:paraId="259516D2" w14:textId="77777777" w:rsidR="007A2C40" w:rsidRDefault="007A2C40"/>
    <w:p w14:paraId="63994530" w14:textId="77777777" w:rsidR="007A2C40" w:rsidRDefault="007A2C40">
      <w:pPr>
        <w:pBdr>
          <w:bottom w:val="single" w:sz="2" w:space="2" w:color="000000"/>
        </w:pBdr>
      </w:pPr>
    </w:p>
    <w:p w14:paraId="0A00268C" w14:textId="77777777" w:rsidR="007A2C40" w:rsidRDefault="00010FF3">
      <w:pPr>
        <w:jc w:val="center"/>
        <w:rPr>
          <w:b/>
          <w:bCs/>
        </w:rPr>
      </w:pPr>
      <w:r>
        <w:rPr>
          <w:b/>
          <w:bCs/>
        </w:rPr>
        <w:t xml:space="preserve">VERSION ACTUELLE </w:t>
      </w:r>
    </w:p>
    <w:p w14:paraId="42D36FBF" w14:textId="77777777" w:rsidR="007A2C40" w:rsidRDefault="00010FF3">
      <w:pPr>
        <w:jc w:val="center"/>
        <w:rPr>
          <w:b/>
          <w:bCs/>
        </w:rPr>
      </w:pPr>
      <w:r>
        <w:rPr>
          <w:b/>
          <w:bCs/>
        </w:rPr>
        <w:t>ANNEXE I : FONDS DES ARRÊTÉ-E-S</w:t>
      </w:r>
    </w:p>
    <w:p w14:paraId="4472D6A4" w14:textId="77777777" w:rsidR="007A2C40" w:rsidRDefault="007A2C40">
      <w:pPr>
        <w:jc w:val="center"/>
        <w:rPr>
          <w:b/>
          <w:bCs/>
        </w:rPr>
      </w:pPr>
    </w:p>
    <w:p w14:paraId="04A12CC5" w14:textId="77777777" w:rsidR="007A2C40" w:rsidRDefault="00010FF3">
      <w:pPr>
        <w:rPr>
          <w:b/>
          <w:bCs/>
          <w:u w:val="single"/>
        </w:rPr>
      </w:pPr>
      <w:r>
        <w:rPr>
          <w:rFonts w:ascii="Cambria" w:hAnsi="Cambria"/>
          <w:b/>
          <w:bCs/>
          <w:u w:val="single"/>
        </w:rPr>
        <w:t>Article A27 : Principes</w:t>
      </w:r>
    </w:p>
    <w:p w14:paraId="363F3737" w14:textId="77777777" w:rsidR="007A2C40" w:rsidRDefault="00010FF3">
      <w:r>
        <w:rPr>
          <w:rFonts w:ascii="Cambria" w:hAnsi="Cambria"/>
        </w:rPr>
        <w:t xml:space="preserve">Le fonds est solidaire avec toutes les personnes arrêtées dans le cadre de manifestations et de luttes étudiantes, peu </w:t>
      </w:r>
      <w:r>
        <w:rPr>
          <w:rFonts w:ascii="Cambria" w:hAnsi="Cambria"/>
        </w:rPr>
        <w:t xml:space="preserve">importe leur rôle dans l’organisation des manifestations ou leur position politique. Le fond considère que tous militants et toutes militantes arrêté-e-s dans le cadre de la contestation étudiante ont droit à un soutien logistique, humain et financier. Le </w:t>
      </w:r>
      <w:r>
        <w:rPr>
          <w:rFonts w:ascii="Cambria" w:hAnsi="Cambria"/>
        </w:rPr>
        <w:t>comité considère que personne ne devrait être obligé de plaider coupable à cause d’un manque d’argent et il tente de répondre aux besoins de toutes et tous les arrêté-e-s.</w:t>
      </w:r>
    </w:p>
    <w:p w14:paraId="323614EB" w14:textId="77777777" w:rsidR="007A2C40" w:rsidRDefault="00010FF3">
      <w:pPr>
        <w:rPr>
          <w:b/>
          <w:bCs/>
          <w:u w:val="single"/>
        </w:rPr>
      </w:pPr>
      <w:r>
        <w:rPr>
          <w:rFonts w:ascii="Cambria" w:hAnsi="Cambria"/>
          <w:b/>
          <w:bCs/>
          <w:u w:val="single"/>
        </w:rPr>
        <w:t>Article A28 :  Critères</w:t>
      </w:r>
    </w:p>
    <w:p w14:paraId="5FCD5057" w14:textId="77777777" w:rsidR="007A2C40" w:rsidRDefault="00010FF3">
      <w:r>
        <w:rPr>
          <w:rFonts w:ascii="Cambria" w:hAnsi="Cambria"/>
        </w:rPr>
        <w:t>Le fonds est principalement destiné aux personnes arrêtées d</w:t>
      </w:r>
      <w:r>
        <w:rPr>
          <w:rFonts w:ascii="Cambria" w:hAnsi="Cambria"/>
        </w:rPr>
        <w:t>urant des manifestations étudiantes et qui ont établi un contact avec le comité légal de l'ASSÉ selon les critères ci-dessous.</w:t>
      </w:r>
    </w:p>
    <w:p w14:paraId="628FF2B2" w14:textId="77777777" w:rsidR="007A2C40" w:rsidRDefault="007A2C40">
      <w:pPr>
        <w:rPr>
          <w:rFonts w:ascii="Cambria" w:hAnsi="Cambria"/>
        </w:rPr>
      </w:pPr>
    </w:p>
    <w:p w14:paraId="475E6F61" w14:textId="77777777" w:rsidR="007A2C40" w:rsidRDefault="00010FF3">
      <w:r>
        <w:rPr>
          <w:rFonts w:ascii="Cambria" w:hAnsi="Cambria"/>
        </w:rPr>
        <w:t>L’argent sera donné prioritairement et selon l’ordre suivant :</w:t>
      </w:r>
    </w:p>
    <w:p w14:paraId="0CE3B87A" w14:textId="77777777" w:rsidR="007A2C40" w:rsidRDefault="00010FF3">
      <w:r>
        <w:rPr>
          <w:rFonts w:ascii="Cambria" w:hAnsi="Cambria"/>
        </w:rPr>
        <w:t>1. À celles et ceux faisant face à des accusations criminelles po</w:t>
      </w:r>
      <w:r>
        <w:rPr>
          <w:rFonts w:ascii="Cambria" w:hAnsi="Cambria"/>
        </w:rPr>
        <w:t>uvant conduire à un</w:t>
      </w:r>
    </w:p>
    <w:p w14:paraId="1728EACD" w14:textId="77777777" w:rsidR="007A2C40" w:rsidRDefault="00010FF3">
      <w:r>
        <w:rPr>
          <w:rFonts w:ascii="Cambria" w:hAnsi="Cambria"/>
        </w:rPr>
        <w:lastRenderedPageBreak/>
        <w:t>emprisonnement;</w:t>
      </w:r>
    </w:p>
    <w:p w14:paraId="17C48315" w14:textId="77777777" w:rsidR="007A2C40" w:rsidRDefault="00010FF3">
      <w:r>
        <w:rPr>
          <w:rFonts w:ascii="Cambria" w:hAnsi="Cambria"/>
        </w:rPr>
        <w:t>2. À celles et ceux n’ayant pas accès à d’autres sources de financement (aide juridique,</w:t>
      </w:r>
    </w:p>
    <w:p w14:paraId="68E5707A" w14:textId="77777777" w:rsidR="007A2C40" w:rsidRDefault="00010FF3">
      <w:r>
        <w:rPr>
          <w:rFonts w:ascii="Cambria" w:hAnsi="Cambria"/>
        </w:rPr>
        <w:t>associations locales, etc.);</w:t>
      </w:r>
    </w:p>
    <w:p w14:paraId="4518ECD5" w14:textId="77777777" w:rsidR="007A2C40" w:rsidRDefault="00010FF3">
      <w:r>
        <w:rPr>
          <w:rFonts w:ascii="Cambria" w:hAnsi="Cambria"/>
        </w:rPr>
        <w:t>3. Aux militants et aux militantes ciblé-e-s pour leur rôle dans l’organisation politique.</w:t>
      </w:r>
    </w:p>
    <w:p w14:paraId="68429286" w14:textId="77777777" w:rsidR="007A2C40" w:rsidRDefault="007A2C40">
      <w:pPr>
        <w:rPr>
          <w:rFonts w:ascii="Cambria" w:hAnsi="Cambria"/>
        </w:rPr>
      </w:pPr>
    </w:p>
    <w:p w14:paraId="5CFC1524" w14:textId="77777777" w:rsidR="007A2C40" w:rsidRDefault="00010FF3">
      <w:pPr>
        <w:rPr>
          <w:b/>
          <w:bCs/>
          <w:u w:val="single"/>
        </w:rPr>
      </w:pPr>
      <w:r>
        <w:rPr>
          <w:rFonts w:ascii="Cambria" w:hAnsi="Cambria"/>
          <w:b/>
          <w:bCs/>
          <w:u w:val="single"/>
        </w:rPr>
        <w:t xml:space="preserve">Article </w:t>
      </w:r>
      <w:r>
        <w:rPr>
          <w:rFonts w:ascii="Cambria" w:hAnsi="Cambria"/>
          <w:b/>
          <w:bCs/>
          <w:u w:val="single"/>
        </w:rPr>
        <w:t>A29 Frais couverts</w:t>
      </w:r>
    </w:p>
    <w:p w14:paraId="4DC3E696" w14:textId="77777777" w:rsidR="007A2C40" w:rsidRDefault="00010FF3">
      <w:r>
        <w:rPr>
          <w:rFonts w:ascii="Cambria" w:hAnsi="Cambria"/>
        </w:rPr>
        <w:t>1. Transport au lieu du jugement;</w:t>
      </w:r>
    </w:p>
    <w:p w14:paraId="6F71E088" w14:textId="77777777" w:rsidR="007A2C40" w:rsidRDefault="00010FF3">
      <w:r>
        <w:rPr>
          <w:rFonts w:ascii="Cambria" w:hAnsi="Cambria"/>
        </w:rPr>
        <w:t>2. Frais juridiques (transcriptions, etc.);</w:t>
      </w:r>
    </w:p>
    <w:p w14:paraId="7EBFABA7" w14:textId="77777777" w:rsidR="007A2C40" w:rsidRDefault="00010FF3">
      <w:r>
        <w:rPr>
          <w:rFonts w:ascii="Cambria" w:hAnsi="Cambria"/>
        </w:rPr>
        <w:t>3. Cautions;</w:t>
      </w:r>
    </w:p>
    <w:p w14:paraId="1A291564" w14:textId="77777777" w:rsidR="007A2C40" w:rsidRDefault="00010FF3">
      <w:r>
        <w:rPr>
          <w:rFonts w:ascii="Cambria" w:hAnsi="Cambria"/>
        </w:rPr>
        <w:t>4. Frais logistiques;</w:t>
      </w:r>
    </w:p>
    <w:p w14:paraId="35264A36" w14:textId="77777777" w:rsidR="007A2C40" w:rsidRDefault="00010FF3">
      <w:r>
        <w:rPr>
          <w:rFonts w:ascii="Cambria" w:hAnsi="Cambria"/>
        </w:rPr>
        <w:t>5. Demandes d’accès à l’information;</w:t>
      </w:r>
    </w:p>
    <w:p w14:paraId="18F9CBE4" w14:textId="77777777" w:rsidR="007A2C40" w:rsidRDefault="00010FF3">
      <w:r>
        <w:rPr>
          <w:rFonts w:ascii="Cambria" w:hAnsi="Cambria"/>
        </w:rPr>
        <w:t>6. Frais des avocats et des avocates (une entente préalable avec le Comité légal est</w:t>
      </w:r>
    </w:p>
    <w:p w14:paraId="420FAE3D" w14:textId="77777777" w:rsidR="007A2C40" w:rsidRDefault="00010FF3">
      <w:r>
        <w:rPr>
          <w:rFonts w:ascii="Cambria" w:hAnsi="Cambria"/>
        </w:rPr>
        <w:t>né</w:t>
      </w:r>
      <w:r>
        <w:rPr>
          <w:rFonts w:ascii="Cambria" w:hAnsi="Cambria"/>
        </w:rPr>
        <w:t>cessaire);</w:t>
      </w:r>
    </w:p>
    <w:p w14:paraId="6E9C2DC7" w14:textId="77777777" w:rsidR="007A2C40" w:rsidRDefault="00010FF3">
      <w:r>
        <w:rPr>
          <w:rFonts w:ascii="Cambria" w:hAnsi="Cambria"/>
        </w:rPr>
        <w:t>7. Autres dépenses liées aux coûts légaux.</w:t>
      </w:r>
    </w:p>
    <w:p w14:paraId="78952067" w14:textId="77777777" w:rsidR="007A2C40" w:rsidRDefault="007A2C40">
      <w:pPr>
        <w:rPr>
          <w:rFonts w:ascii="Cambria" w:hAnsi="Cambria"/>
        </w:rPr>
      </w:pPr>
    </w:p>
    <w:p w14:paraId="0C090C07" w14:textId="77777777" w:rsidR="007A2C40" w:rsidRDefault="00010FF3">
      <w:pPr>
        <w:rPr>
          <w:b/>
          <w:bCs/>
          <w:u w:val="single"/>
        </w:rPr>
      </w:pPr>
      <w:r>
        <w:rPr>
          <w:rFonts w:ascii="Cambria" w:hAnsi="Cambria"/>
          <w:b/>
          <w:bCs/>
          <w:u w:val="single"/>
        </w:rPr>
        <w:t>Article A30 : Conflit d'intérêts</w:t>
      </w:r>
    </w:p>
    <w:p w14:paraId="521F1EB7" w14:textId="77777777" w:rsidR="007A2C40" w:rsidRDefault="00010FF3">
      <w:r>
        <w:rPr>
          <w:rFonts w:ascii="Cambria" w:hAnsi="Cambria"/>
        </w:rPr>
        <w:t>Les accusé-e-s, les avocats et les avocates ne peuvent être élu-e-s au comité légal. Les</w:t>
      </w:r>
    </w:p>
    <w:p w14:paraId="0EEA38D6" w14:textId="77777777" w:rsidR="007A2C40" w:rsidRDefault="00010FF3">
      <w:r>
        <w:rPr>
          <w:rFonts w:ascii="Cambria" w:hAnsi="Cambria"/>
        </w:rPr>
        <w:t xml:space="preserve">membres du comité doivent se retirer des réunions dans les cas où ils et elles </w:t>
      </w:r>
      <w:r>
        <w:rPr>
          <w:rFonts w:ascii="Cambria" w:hAnsi="Cambria"/>
        </w:rPr>
        <w:t>pourraient avoir un</w:t>
      </w:r>
    </w:p>
    <w:p w14:paraId="4A9321DD" w14:textId="77777777" w:rsidR="007A2C40" w:rsidRDefault="00010FF3">
      <w:pPr>
        <w:jc w:val="both"/>
      </w:pPr>
      <w:r>
        <w:rPr>
          <w:rFonts w:ascii="Cambria" w:hAnsi="Cambria"/>
        </w:rPr>
        <w:t>conflit d’intérêts d’un autre type. Le comité ad hoc légal agit de façon autonome, mais est redevable en tout temps au congrès de l'ASSÉ. Le comité approuve les règles édictées ci-dessus et veille à leur mise en application. Il doit rec</w:t>
      </w:r>
      <w:r>
        <w:rPr>
          <w:rFonts w:ascii="Cambria" w:hAnsi="Cambria"/>
        </w:rPr>
        <w:t>evoir et statuer sur les demandes de financement de défense légale. Il est aussi habilité à rembourser les dépenses accumulées, sur présentation de reçus seulement.</w:t>
      </w:r>
    </w:p>
    <w:sectPr w:rsidR="007A2C40">
      <w:pgSz w:w="15840" w:h="12240" w:orient="landscape"/>
      <w:pgMar w:top="708" w:right="1440" w:bottom="180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40"/>
    <w:rsid w:val="00010FF3"/>
    <w:rsid w:val="007A2C40"/>
    <w:rsid w:val="00AD5BE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E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CA"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cs="Times New Roman"/>
      <w:color w:val="00000A"/>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qFormat/>
    <w:pPr>
      <w:spacing w:before="280" w:after="280" w:line="240" w:lineRule="auto"/>
      <w:outlineLvl w:val="0"/>
    </w:pPr>
    <w:rPr>
      <w:rFonts w:ascii="Times New Roman" w:eastAsia="Times New Roman" w:hAnsi="Times New Roman"/>
      <w:b/>
      <w:bCs/>
      <w:sz w:val="48"/>
      <w:szCs w:val="48"/>
    </w:rPr>
  </w:style>
  <w:style w:type="paragraph" w:customStyle="1" w:styleId="Heading2">
    <w:name w:val="Heading 2"/>
    <w:basedOn w:val="Normal"/>
    <w:qFormat/>
    <w:pPr>
      <w:spacing w:before="280" w:after="280" w:line="240" w:lineRule="auto"/>
      <w:outlineLvl w:val="1"/>
    </w:pPr>
    <w:rPr>
      <w:rFonts w:ascii="Times New Roman" w:eastAsia="Times New Roman" w:hAnsi="Times New Roman"/>
      <w:b/>
      <w:bCs/>
      <w:sz w:val="36"/>
      <w:szCs w:val="36"/>
    </w:rPr>
  </w:style>
  <w:style w:type="paragraph" w:customStyle="1" w:styleId="Heading3">
    <w:name w:val="Heading 3"/>
    <w:basedOn w:val="Normal"/>
    <w:qFormat/>
    <w:pPr>
      <w:spacing w:before="280" w:after="280" w:line="240" w:lineRule="auto"/>
      <w:outlineLvl w:val="2"/>
    </w:pPr>
    <w:rPr>
      <w:rFonts w:ascii="Times New Roman" w:eastAsia="Times New Roman" w:hAnsi="Times New Roman"/>
      <w:b/>
      <w:bC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itre1Car">
    <w:name w:val="Titre 1 Car"/>
    <w:qFormat/>
    <w:rPr>
      <w:rFonts w:ascii="Times New Roman" w:eastAsia="Times New Roman" w:hAnsi="Times New Roman" w:cs="Times New Roman"/>
      <w:b/>
      <w:bCs/>
      <w:sz w:val="48"/>
      <w:szCs w:val="48"/>
    </w:rPr>
  </w:style>
  <w:style w:type="character" w:customStyle="1" w:styleId="Titre2Car">
    <w:name w:val="Titre 2 Car"/>
    <w:qFormat/>
    <w:rPr>
      <w:rFonts w:ascii="Times New Roman" w:eastAsia="Times New Roman" w:hAnsi="Times New Roman" w:cs="Times New Roman"/>
      <w:b/>
      <w:bCs/>
      <w:sz w:val="36"/>
      <w:szCs w:val="36"/>
    </w:rPr>
  </w:style>
  <w:style w:type="character" w:customStyle="1" w:styleId="Titre3Car">
    <w:name w:val="Titre 3 Car"/>
    <w:qFormat/>
    <w:rPr>
      <w:rFonts w:ascii="Times New Roman" w:eastAsia="Times New Roman" w:hAnsi="Times New Roman" w:cs="Times New Roman"/>
      <w:b/>
      <w:bCs/>
      <w:sz w:val="28"/>
      <w:szCs w:val="28"/>
    </w:rPr>
  </w:style>
  <w:style w:type="character" w:customStyle="1" w:styleId="author-a-fz85ztcvfz73zz81zz87zz87zc66z88z30">
    <w:name w:val="author-a-fz85ztcvfz73zz81zz87zz87zc66z88z30"/>
    <w:basedOn w:val="Policepardfaut"/>
    <w:qFormat/>
  </w:style>
  <w:style w:type="character" w:customStyle="1" w:styleId="author-a-9z65zz79zq5iz122zz74zsz72zz76zeflh9">
    <w:name w:val="author-a-9z65zz79zq5iz122zz74zsz72zz76zeflh9"/>
    <w:basedOn w:val="Policepardfaut"/>
    <w:qFormat/>
  </w:style>
  <w:style w:type="character" w:customStyle="1" w:styleId="author-a-z122zz69zhiu9mz79zz85zz76z1m0z68zz86zq">
    <w:name w:val="author-a-z122zz69zhiu9mz79zz85zz76z1m0z68zz86zq"/>
    <w:basedOn w:val="Policepardfaut"/>
    <w:qFormat/>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7">
    <w:name w:val="ListLabel 7"/>
    <w:qFormat/>
    <w:rPr>
      <w:rFonts w:ascii="Cambria" w:hAnsi="Cambria" w:cs="Symbol"/>
      <w:b/>
    </w:rPr>
  </w:style>
  <w:style w:type="character" w:customStyle="1" w:styleId="ListLabel8">
    <w:name w:val="ListLabel 8"/>
    <w:qFormat/>
    <w:rPr>
      <w:rFonts w:ascii="Cambria" w:hAnsi="Cambria" w:cs="OpenSymbol"/>
      <w:b w:val="0"/>
    </w:rPr>
  </w:style>
  <w:style w:type="character" w:customStyle="1" w:styleId="ListLabel9">
    <w:name w:val="ListLabel 9"/>
    <w:qFormat/>
    <w:rPr>
      <w:rFonts w:cs="Symbol"/>
      <w:b/>
    </w:rPr>
  </w:style>
  <w:style w:type="character" w:customStyle="1" w:styleId="ListLabel10">
    <w:name w:val="ListLabel 10"/>
    <w:qFormat/>
    <w:rPr>
      <w:rFonts w:ascii="Cambria" w:hAnsi="Cambria" w:cs="OpenSymbol"/>
      <w:b w:val="0"/>
    </w:rPr>
  </w:style>
  <w:style w:type="character" w:customStyle="1" w:styleId="ListLabel11">
    <w:name w:val="ListLabel 11"/>
    <w:qFormat/>
    <w:rPr>
      <w:rFonts w:cs="Symbol"/>
      <w:b/>
    </w:rPr>
  </w:style>
  <w:style w:type="character" w:customStyle="1" w:styleId="ListLabel12">
    <w:name w:val="ListLabel 12"/>
    <w:qFormat/>
    <w:rPr>
      <w:rFonts w:ascii="Cambria" w:hAnsi="Cambria" w:cs="OpenSymbol"/>
      <w:b w:val="0"/>
    </w:rPr>
  </w:style>
  <w:style w:type="character" w:customStyle="1" w:styleId="ListLabel13">
    <w:name w:val="ListLabel 13"/>
    <w:qFormat/>
    <w:rPr>
      <w:rFonts w:cs="Symbol"/>
      <w:b/>
    </w:rPr>
  </w:style>
  <w:style w:type="character" w:customStyle="1" w:styleId="ListLabel14">
    <w:name w:val="ListLabel 14"/>
    <w:qFormat/>
    <w:rPr>
      <w:rFonts w:ascii="Cambria" w:hAnsi="Cambria" w:cs="OpenSymbol"/>
      <w:b w:val="0"/>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
    <w:name w:val="Header"/>
    <w:basedOn w:val="Normal"/>
    <w:pPr>
      <w:spacing w:after="0" w:line="240" w:lineRule="auto"/>
    </w:pPr>
  </w:style>
  <w:style w:type="paragraph" w:customStyle="1" w:styleId="Footer">
    <w:name w:val="Footer"/>
    <w:basedOn w:val="Normal"/>
    <w:pPr>
      <w:spacing w:after="0" w:line="240" w:lineRule="auto"/>
    </w:pPr>
  </w:style>
  <w:style w:type="paragraph" w:styleId="Paragraphedeliste">
    <w:name w:val="List Paragraph"/>
    <w:basedOn w:val="Normal"/>
    <w:qFormat/>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numbering" w:customStyle="1" w:styleId="WW8Num2">
    <w:name w:val="WW8Num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CA"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cs="Times New Roman"/>
      <w:color w:val="00000A"/>
      <w:sz w:val="22"/>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qFormat/>
    <w:pPr>
      <w:spacing w:before="280" w:after="280" w:line="240" w:lineRule="auto"/>
      <w:outlineLvl w:val="0"/>
    </w:pPr>
    <w:rPr>
      <w:rFonts w:ascii="Times New Roman" w:eastAsia="Times New Roman" w:hAnsi="Times New Roman"/>
      <w:b/>
      <w:bCs/>
      <w:sz w:val="48"/>
      <w:szCs w:val="48"/>
    </w:rPr>
  </w:style>
  <w:style w:type="paragraph" w:customStyle="1" w:styleId="Heading2">
    <w:name w:val="Heading 2"/>
    <w:basedOn w:val="Normal"/>
    <w:qFormat/>
    <w:pPr>
      <w:spacing w:before="280" w:after="280" w:line="240" w:lineRule="auto"/>
      <w:outlineLvl w:val="1"/>
    </w:pPr>
    <w:rPr>
      <w:rFonts w:ascii="Times New Roman" w:eastAsia="Times New Roman" w:hAnsi="Times New Roman"/>
      <w:b/>
      <w:bCs/>
      <w:sz w:val="36"/>
      <w:szCs w:val="36"/>
    </w:rPr>
  </w:style>
  <w:style w:type="paragraph" w:customStyle="1" w:styleId="Heading3">
    <w:name w:val="Heading 3"/>
    <w:basedOn w:val="Normal"/>
    <w:qFormat/>
    <w:pPr>
      <w:spacing w:before="280" w:after="280" w:line="240" w:lineRule="auto"/>
      <w:outlineLvl w:val="2"/>
    </w:pPr>
    <w:rPr>
      <w:rFonts w:ascii="Times New Roman" w:eastAsia="Times New Roman" w:hAnsi="Times New Roman"/>
      <w:b/>
      <w:bC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Titre1Car">
    <w:name w:val="Titre 1 Car"/>
    <w:qFormat/>
    <w:rPr>
      <w:rFonts w:ascii="Times New Roman" w:eastAsia="Times New Roman" w:hAnsi="Times New Roman" w:cs="Times New Roman"/>
      <w:b/>
      <w:bCs/>
      <w:sz w:val="48"/>
      <w:szCs w:val="48"/>
    </w:rPr>
  </w:style>
  <w:style w:type="character" w:customStyle="1" w:styleId="Titre2Car">
    <w:name w:val="Titre 2 Car"/>
    <w:qFormat/>
    <w:rPr>
      <w:rFonts w:ascii="Times New Roman" w:eastAsia="Times New Roman" w:hAnsi="Times New Roman" w:cs="Times New Roman"/>
      <w:b/>
      <w:bCs/>
      <w:sz w:val="36"/>
      <w:szCs w:val="36"/>
    </w:rPr>
  </w:style>
  <w:style w:type="character" w:customStyle="1" w:styleId="Titre3Car">
    <w:name w:val="Titre 3 Car"/>
    <w:qFormat/>
    <w:rPr>
      <w:rFonts w:ascii="Times New Roman" w:eastAsia="Times New Roman" w:hAnsi="Times New Roman" w:cs="Times New Roman"/>
      <w:b/>
      <w:bCs/>
      <w:sz w:val="28"/>
      <w:szCs w:val="28"/>
    </w:rPr>
  </w:style>
  <w:style w:type="character" w:customStyle="1" w:styleId="author-a-fz85ztcvfz73zz81zz87zz87zc66z88z30">
    <w:name w:val="author-a-fz85ztcvfz73zz81zz87zz87zc66z88z30"/>
    <w:basedOn w:val="Policepardfaut"/>
    <w:qFormat/>
  </w:style>
  <w:style w:type="character" w:customStyle="1" w:styleId="author-a-9z65zz79zq5iz122zz74zsz72zz76zeflh9">
    <w:name w:val="author-a-9z65zz79zq5iz122zz74zsz72zz76zeflh9"/>
    <w:basedOn w:val="Policepardfaut"/>
    <w:qFormat/>
  </w:style>
  <w:style w:type="character" w:customStyle="1" w:styleId="author-a-z122zz69zhiu9mz79zz85zz76z1m0z68zz86zq">
    <w:name w:val="author-a-z122zz69zhiu9mz79zz85zz76z1m0z68zz86zq"/>
    <w:basedOn w:val="Policepardfaut"/>
    <w:qFormat/>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stLabel7">
    <w:name w:val="ListLabel 7"/>
    <w:qFormat/>
    <w:rPr>
      <w:rFonts w:ascii="Cambria" w:hAnsi="Cambria" w:cs="Symbol"/>
      <w:b/>
    </w:rPr>
  </w:style>
  <w:style w:type="character" w:customStyle="1" w:styleId="ListLabel8">
    <w:name w:val="ListLabel 8"/>
    <w:qFormat/>
    <w:rPr>
      <w:rFonts w:ascii="Cambria" w:hAnsi="Cambria" w:cs="OpenSymbol"/>
      <w:b w:val="0"/>
    </w:rPr>
  </w:style>
  <w:style w:type="character" w:customStyle="1" w:styleId="ListLabel9">
    <w:name w:val="ListLabel 9"/>
    <w:qFormat/>
    <w:rPr>
      <w:rFonts w:cs="Symbol"/>
      <w:b/>
    </w:rPr>
  </w:style>
  <w:style w:type="character" w:customStyle="1" w:styleId="ListLabel10">
    <w:name w:val="ListLabel 10"/>
    <w:qFormat/>
    <w:rPr>
      <w:rFonts w:ascii="Cambria" w:hAnsi="Cambria" w:cs="OpenSymbol"/>
      <w:b w:val="0"/>
    </w:rPr>
  </w:style>
  <w:style w:type="character" w:customStyle="1" w:styleId="ListLabel11">
    <w:name w:val="ListLabel 11"/>
    <w:qFormat/>
    <w:rPr>
      <w:rFonts w:cs="Symbol"/>
      <w:b/>
    </w:rPr>
  </w:style>
  <w:style w:type="character" w:customStyle="1" w:styleId="ListLabel12">
    <w:name w:val="ListLabel 12"/>
    <w:qFormat/>
    <w:rPr>
      <w:rFonts w:ascii="Cambria" w:hAnsi="Cambria" w:cs="OpenSymbol"/>
      <w:b w:val="0"/>
    </w:rPr>
  </w:style>
  <w:style w:type="character" w:customStyle="1" w:styleId="ListLabel13">
    <w:name w:val="ListLabel 13"/>
    <w:qFormat/>
    <w:rPr>
      <w:rFonts w:cs="Symbol"/>
      <w:b/>
    </w:rPr>
  </w:style>
  <w:style w:type="character" w:customStyle="1" w:styleId="ListLabel14">
    <w:name w:val="ListLabel 14"/>
    <w:qFormat/>
    <w:rPr>
      <w:rFonts w:ascii="Cambria" w:hAnsi="Cambria" w:cs="OpenSymbol"/>
      <w:b w:val="0"/>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Mangal"/>
    </w:rPr>
  </w:style>
  <w:style w:type="paragraph" w:customStyle="1"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
    <w:name w:val="Header"/>
    <w:basedOn w:val="Normal"/>
    <w:pPr>
      <w:spacing w:after="0" w:line="240" w:lineRule="auto"/>
    </w:pPr>
  </w:style>
  <w:style w:type="paragraph" w:customStyle="1" w:styleId="Footer">
    <w:name w:val="Footer"/>
    <w:basedOn w:val="Normal"/>
    <w:pPr>
      <w:spacing w:after="0" w:line="240" w:lineRule="auto"/>
    </w:pPr>
  </w:style>
  <w:style w:type="paragraph" w:styleId="Paragraphedeliste">
    <w:name w:val="List Paragraph"/>
    <w:basedOn w:val="Normal"/>
    <w:qFormat/>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5749</Characters>
  <Application>Microsoft Macintosh Word</Application>
  <DocSecurity>0</DocSecurity>
  <Lines>47</Lines>
  <Paragraphs>13</Paragraphs>
  <ScaleCrop>false</ScaleCrop>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Sarah Smith</cp:lastModifiedBy>
  <cp:revision>3</cp:revision>
  <dcterms:created xsi:type="dcterms:W3CDTF">2016-03-18T15:37:00Z</dcterms:created>
  <dcterms:modified xsi:type="dcterms:W3CDTF">2016-03-18T15:37:00Z</dcterms:modified>
  <dc:language>fr-CA</dc:language>
</cp:coreProperties>
</file>