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A9AA8" w14:textId="245F08E5" w:rsidR="00104380" w:rsidRPr="00832BB6" w:rsidRDefault="00104380" w:rsidP="00104380">
      <w:pPr>
        <w:rPr>
          <w:rFonts w:ascii="Garamond" w:hAnsi="Garamond"/>
          <w:b/>
          <w:sz w:val="28"/>
          <w:u w:val="single"/>
        </w:rPr>
      </w:pPr>
      <w:bookmarkStart w:id="0" w:name="_GoBack"/>
      <w:bookmarkEnd w:id="0"/>
      <w:r w:rsidRPr="00832BB6">
        <w:rPr>
          <w:rFonts w:ascii="Garamond" w:hAnsi="Garamond"/>
          <w:b/>
          <w:sz w:val="28"/>
          <w:u w:val="single"/>
        </w:rPr>
        <w:t xml:space="preserve">Bilan des revendications, pratiques et positions </w:t>
      </w:r>
      <w:r w:rsidR="00832BB6" w:rsidRPr="00832BB6">
        <w:rPr>
          <w:rFonts w:ascii="Garamond" w:hAnsi="Garamond"/>
          <w:b/>
          <w:sz w:val="28"/>
          <w:u w:val="single"/>
        </w:rPr>
        <w:t xml:space="preserve">féministe </w:t>
      </w:r>
      <w:r w:rsidRPr="00832BB6">
        <w:rPr>
          <w:rFonts w:ascii="Garamond" w:hAnsi="Garamond"/>
          <w:b/>
          <w:sz w:val="28"/>
          <w:u w:val="single"/>
        </w:rPr>
        <w:t>de l’AESPEP</w:t>
      </w:r>
    </w:p>
    <w:p w14:paraId="34CC1E56" w14:textId="77777777" w:rsidR="00104380" w:rsidRPr="00832BB6" w:rsidRDefault="00104380" w:rsidP="00104380">
      <w:pPr>
        <w:rPr>
          <w:rFonts w:ascii="Garamond" w:hAnsi="Garamond"/>
          <w:b/>
          <w:sz w:val="28"/>
          <w:u w:val="single"/>
        </w:rPr>
      </w:pPr>
    </w:p>
    <w:p w14:paraId="15B49419" w14:textId="6CE50744" w:rsidR="00104380" w:rsidRPr="00832BB6" w:rsidRDefault="00104380" w:rsidP="00104380">
      <w:pPr>
        <w:widowControl w:val="0"/>
        <w:numPr>
          <w:ilvl w:val="0"/>
          <w:numId w:val="4"/>
        </w:numPr>
        <w:tabs>
          <w:tab w:val="left" w:pos="220"/>
          <w:tab w:val="left" w:pos="720"/>
        </w:tabs>
        <w:autoSpaceDE w:val="0"/>
        <w:autoSpaceDN w:val="0"/>
        <w:adjustRightInd w:val="0"/>
        <w:spacing w:after="266"/>
        <w:rPr>
          <w:rFonts w:ascii="Garamond" w:hAnsi="Garamond" w:cs="Arial"/>
          <w:sz w:val="26"/>
          <w:szCs w:val="26"/>
          <w:lang w:val="fr-FR"/>
        </w:rPr>
      </w:pPr>
      <w:r w:rsidRPr="00832BB6">
        <w:rPr>
          <w:rFonts w:ascii="Garamond" w:hAnsi="Garamond"/>
        </w:rPr>
        <w:t>L’AÉSPEP se positionne pour des pratiques sexuelles libres et consentantes, et rejette toutes formes de violences sexuelles, que ces violences soient physiques ou discursives.</w:t>
      </w:r>
      <w:r w:rsidRPr="00832BB6">
        <w:rPr>
          <w:rFonts w:ascii="Garamond" w:hAnsi="Garamond" w:cs="Arial"/>
          <w:szCs w:val="26"/>
          <w:lang w:val="fr-FR"/>
        </w:rPr>
        <w:t xml:space="preserve"> </w:t>
      </w:r>
    </w:p>
    <w:p w14:paraId="4BA2482A" w14:textId="77777777" w:rsidR="00104380" w:rsidRPr="00832BB6" w:rsidRDefault="00104380" w:rsidP="00104380">
      <w:pPr>
        <w:widowControl w:val="0"/>
        <w:numPr>
          <w:ilvl w:val="0"/>
          <w:numId w:val="4"/>
        </w:numPr>
        <w:tabs>
          <w:tab w:val="left" w:pos="220"/>
          <w:tab w:val="left" w:pos="720"/>
        </w:tabs>
        <w:autoSpaceDE w:val="0"/>
        <w:autoSpaceDN w:val="0"/>
        <w:adjustRightInd w:val="0"/>
        <w:spacing w:after="266"/>
        <w:rPr>
          <w:rFonts w:ascii="Garamond" w:hAnsi="Garamond"/>
        </w:rPr>
      </w:pPr>
      <w:r w:rsidRPr="00832BB6">
        <w:rPr>
          <w:rFonts w:ascii="Garamond" w:hAnsi="Garamond"/>
        </w:rPr>
        <w:t xml:space="preserve">L’AÉSPEP dénonce l’utilisation de slogans et/ou de pancartes et/ou de vidéos promotionnelles et/ou publicitaires faisant référence au sexe de façon dégradante ou faisant référence au viol. </w:t>
      </w:r>
      <w:r w:rsidRPr="00832BB6">
        <w:rPr>
          <w:rFonts w:ascii="MS Mincho" w:eastAsia="MS Mincho" w:hAnsi="MS Mincho" w:cs="MS Mincho"/>
        </w:rPr>
        <w:t> </w:t>
      </w:r>
    </w:p>
    <w:p w14:paraId="2BB75F3B" w14:textId="77777777" w:rsidR="00104380" w:rsidRPr="00832BB6" w:rsidRDefault="00104380" w:rsidP="00647913">
      <w:pPr>
        <w:widowControl w:val="0"/>
        <w:numPr>
          <w:ilvl w:val="0"/>
          <w:numId w:val="4"/>
        </w:numPr>
        <w:tabs>
          <w:tab w:val="left" w:pos="220"/>
          <w:tab w:val="left" w:pos="720"/>
        </w:tabs>
        <w:autoSpaceDE w:val="0"/>
        <w:autoSpaceDN w:val="0"/>
        <w:adjustRightInd w:val="0"/>
        <w:spacing w:after="266"/>
        <w:rPr>
          <w:rFonts w:ascii="Garamond" w:hAnsi="Garamond"/>
        </w:rPr>
      </w:pPr>
      <w:r w:rsidRPr="00832BB6">
        <w:rPr>
          <w:rFonts w:ascii="Garamond" w:hAnsi="Garamond"/>
        </w:rPr>
        <w:t>L’AÉSPEP se positionne pour et encourage l’égalité entre les hommes et les femmes, c’</w:t>
      </w:r>
      <w:proofErr w:type="spellStart"/>
      <w:r w:rsidRPr="00832BB6">
        <w:rPr>
          <w:rFonts w:ascii="Garamond" w:hAnsi="Garamond"/>
        </w:rPr>
        <w:t>est-à</w:t>
      </w:r>
      <w:proofErr w:type="spellEnd"/>
      <w:r w:rsidRPr="00832BB6">
        <w:rPr>
          <w:rFonts w:ascii="Garamond" w:hAnsi="Garamond"/>
        </w:rPr>
        <w:t xml:space="preserve">- dire que l’AÉSPEP développe des outils féministes (comme la féminisation et la promotion de l’alternance hommes/femmes), qu’elle laisse place à des espaces de réflexions entre les étudiants et les étudiantes en PEP dans une perspective féministe, et qu’elle supporte les luttes et les mouvements des femmes et qu’elle féminise ses statuts et règlements et l’ensemble de ses communications. </w:t>
      </w:r>
    </w:p>
    <w:p w14:paraId="34CD2A75" w14:textId="77777777" w:rsidR="00104380" w:rsidRPr="00832BB6" w:rsidRDefault="00104380" w:rsidP="00104380">
      <w:pPr>
        <w:widowControl w:val="0"/>
        <w:numPr>
          <w:ilvl w:val="0"/>
          <w:numId w:val="4"/>
        </w:numPr>
        <w:tabs>
          <w:tab w:val="left" w:pos="220"/>
          <w:tab w:val="left" w:pos="720"/>
        </w:tabs>
        <w:autoSpaceDE w:val="0"/>
        <w:autoSpaceDN w:val="0"/>
        <w:adjustRightInd w:val="0"/>
        <w:spacing w:after="266"/>
        <w:rPr>
          <w:rFonts w:ascii="Garamond" w:hAnsi="Garamond"/>
        </w:rPr>
      </w:pPr>
      <w:r w:rsidRPr="00832BB6">
        <w:rPr>
          <w:rFonts w:ascii="Garamond" w:hAnsi="Garamond"/>
        </w:rPr>
        <w:t xml:space="preserve">L’AÉSPEP se positionne clairement et publiquement pour le respect de toute opinion exprimée dans les rencontres formelles (AG, comité, etc.) et informelles, entre les membres de l’AÉSPEP, dans la mesure où ces opinions ne véhiculent pas un message haineux, raciste, sexiste, homophobe ou </w:t>
      </w:r>
      <w:proofErr w:type="spellStart"/>
      <w:r w:rsidRPr="00832BB6">
        <w:rPr>
          <w:rFonts w:ascii="Garamond" w:hAnsi="Garamond"/>
        </w:rPr>
        <w:t>transphobe</w:t>
      </w:r>
      <w:proofErr w:type="spellEnd"/>
      <w:r w:rsidRPr="00832BB6">
        <w:rPr>
          <w:rFonts w:ascii="Garamond" w:hAnsi="Garamond"/>
        </w:rPr>
        <w:t xml:space="preserve">. </w:t>
      </w:r>
      <w:r w:rsidRPr="00832BB6">
        <w:rPr>
          <w:rFonts w:ascii="MS Mincho" w:eastAsia="MS Mincho" w:hAnsi="MS Mincho" w:cs="MS Mincho"/>
        </w:rPr>
        <w:t> </w:t>
      </w:r>
    </w:p>
    <w:p w14:paraId="3DE2A40B" w14:textId="77777777" w:rsidR="00104380" w:rsidRPr="00832BB6" w:rsidRDefault="00104380" w:rsidP="00104380">
      <w:pPr>
        <w:widowControl w:val="0"/>
        <w:numPr>
          <w:ilvl w:val="0"/>
          <w:numId w:val="4"/>
        </w:numPr>
        <w:tabs>
          <w:tab w:val="left" w:pos="220"/>
          <w:tab w:val="left" w:pos="720"/>
        </w:tabs>
        <w:autoSpaceDE w:val="0"/>
        <w:autoSpaceDN w:val="0"/>
        <w:adjustRightInd w:val="0"/>
        <w:spacing w:after="266"/>
        <w:rPr>
          <w:rFonts w:ascii="Garamond" w:hAnsi="Garamond"/>
        </w:rPr>
      </w:pPr>
      <w:r w:rsidRPr="00832BB6">
        <w:rPr>
          <w:rFonts w:ascii="Garamond" w:hAnsi="Garamond"/>
        </w:rPr>
        <w:t xml:space="preserve">Que l’AESPEP rappelle au congrès de l’ASSÉ que le féminisme est pluriel et que cela implique une diversité des tactiques. </w:t>
      </w:r>
      <w:r w:rsidRPr="00832BB6">
        <w:rPr>
          <w:rFonts w:ascii="MS Mincho" w:eastAsia="MS Mincho" w:hAnsi="MS Mincho" w:cs="MS Mincho"/>
        </w:rPr>
        <w:t> </w:t>
      </w:r>
    </w:p>
    <w:p w14:paraId="3ABC1629" w14:textId="77777777" w:rsidR="00104380" w:rsidRPr="00832BB6" w:rsidRDefault="00104380" w:rsidP="00104380">
      <w:pPr>
        <w:widowControl w:val="0"/>
        <w:numPr>
          <w:ilvl w:val="0"/>
          <w:numId w:val="4"/>
        </w:numPr>
        <w:tabs>
          <w:tab w:val="left" w:pos="220"/>
          <w:tab w:val="left" w:pos="720"/>
        </w:tabs>
        <w:autoSpaceDE w:val="0"/>
        <w:autoSpaceDN w:val="0"/>
        <w:adjustRightInd w:val="0"/>
        <w:spacing w:after="266"/>
        <w:rPr>
          <w:rFonts w:ascii="Garamond" w:hAnsi="Garamond"/>
        </w:rPr>
      </w:pPr>
      <w:r w:rsidRPr="00832BB6">
        <w:rPr>
          <w:rFonts w:ascii="Garamond" w:hAnsi="Garamond"/>
        </w:rPr>
        <w:t xml:space="preserve">Considérant les positions pro-féministes de l’AÉSPEP ; QUE l'AÉSPEP s'engage à intégrer dans la structure du programme tout nouveau cours traitant du féminisme en science politique et en philosophie afin qu'il soit disponible en tant que cours à option. </w:t>
      </w:r>
      <w:r w:rsidRPr="00832BB6">
        <w:rPr>
          <w:rFonts w:ascii="MS Mincho" w:eastAsia="MS Mincho" w:hAnsi="MS Mincho" w:cs="MS Mincho"/>
        </w:rPr>
        <w:t> </w:t>
      </w:r>
    </w:p>
    <w:p w14:paraId="5CAAE667" w14:textId="77777777" w:rsidR="00C324F2" w:rsidRPr="00832BB6" w:rsidRDefault="00C324F2" w:rsidP="00647913">
      <w:pPr>
        <w:widowControl w:val="0"/>
        <w:numPr>
          <w:ilvl w:val="0"/>
          <w:numId w:val="4"/>
        </w:numPr>
        <w:tabs>
          <w:tab w:val="left" w:pos="220"/>
          <w:tab w:val="left" w:pos="720"/>
        </w:tabs>
        <w:autoSpaceDE w:val="0"/>
        <w:autoSpaceDN w:val="0"/>
        <w:adjustRightInd w:val="0"/>
        <w:spacing w:after="266"/>
        <w:rPr>
          <w:rFonts w:ascii="Garamond" w:hAnsi="Garamond"/>
        </w:rPr>
      </w:pPr>
      <w:r w:rsidRPr="00832BB6">
        <w:rPr>
          <w:rFonts w:ascii="Garamond" w:hAnsi="Garamond"/>
        </w:rPr>
        <w:t xml:space="preserve">Article 18 : Conseil Féministe </w:t>
      </w:r>
    </w:p>
    <w:p w14:paraId="2355F083" w14:textId="77777777" w:rsidR="00C324F2" w:rsidRPr="00832BB6" w:rsidRDefault="00C324F2" w:rsidP="00647913">
      <w:pPr>
        <w:widowControl w:val="0"/>
        <w:tabs>
          <w:tab w:val="left" w:pos="220"/>
          <w:tab w:val="left" w:pos="720"/>
        </w:tabs>
        <w:autoSpaceDE w:val="0"/>
        <w:autoSpaceDN w:val="0"/>
        <w:adjustRightInd w:val="0"/>
        <w:spacing w:after="266"/>
        <w:ind w:left="720"/>
        <w:rPr>
          <w:rFonts w:ascii="Garamond" w:hAnsi="Garamond"/>
        </w:rPr>
      </w:pPr>
      <w:r w:rsidRPr="00832BB6">
        <w:rPr>
          <w:rFonts w:ascii="Garamond" w:hAnsi="Garamond"/>
        </w:rPr>
        <w:t>Le conseil féministe est une instance décisionnelle. En ce sens, il peut se positionner sur certains sujets et confier des mandats à l’exécutif. Il a toutefois une portée décisionnelle restreinte en ce qu’il ne peut se prononcer sur des sujets sans rapport avec la cause féministe. Il s’agit d’une instance mixte dans sa réflexion, mais non-mixte dans sa prise de décision. C’</w:t>
      </w:r>
      <w:proofErr w:type="spellStart"/>
      <w:r w:rsidRPr="00832BB6">
        <w:rPr>
          <w:rFonts w:ascii="Garamond" w:hAnsi="Garamond"/>
        </w:rPr>
        <w:t>est-à</w:t>
      </w:r>
      <w:proofErr w:type="spellEnd"/>
      <w:r w:rsidRPr="00832BB6">
        <w:rPr>
          <w:rFonts w:ascii="Garamond" w:hAnsi="Garamond"/>
        </w:rPr>
        <w:t xml:space="preserve">- dire que tous et toutes les membres peuvent s’y prononcer, mais que le droit de vote est réservé aux personnes de sexe et/ou de genre féminin. Les positions et mandats adoptés dans cette instance ont le même statut que ceux adoptés en AG, mais toute décision du conseil ayant un impact sur la Charte doit être entérinée par </w:t>
      </w:r>
      <w:proofErr w:type="spellStart"/>
      <w:r w:rsidRPr="00832BB6">
        <w:rPr>
          <w:rFonts w:ascii="Garamond" w:hAnsi="Garamond"/>
        </w:rPr>
        <w:t>l’AG.</w:t>
      </w:r>
      <w:proofErr w:type="spellEnd"/>
      <w:r w:rsidRPr="00832BB6">
        <w:rPr>
          <w:rFonts w:ascii="Garamond" w:hAnsi="Garamond"/>
        </w:rPr>
        <w:t xml:space="preserve"> </w:t>
      </w:r>
    </w:p>
    <w:p w14:paraId="32F88511" w14:textId="77777777" w:rsidR="00647913" w:rsidRPr="00832BB6" w:rsidRDefault="00C324F2" w:rsidP="00647913">
      <w:pPr>
        <w:widowControl w:val="0"/>
        <w:tabs>
          <w:tab w:val="left" w:pos="220"/>
          <w:tab w:val="left" w:pos="720"/>
        </w:tabs>
        <w:autoSpaceDE w:val="0"/>
        <w:autoSpaceDN w:val="0"/>
        <w:adjustRightInd w:val="0"/>
        <w:spacing w:after="266"/>
        <w:ind w:left="720"/>
        <w:rPr>
          <w:rFonts w:ascii="Garamond" w:hAnsi="Garamond"/>
        </w:rPr>
      </w:pPr>
      <w:r w:rsidRPr="00832BB6">
        <w:rPr>
          <w:rFonts w:ascii="Garamond" w:hAnsi="Garamond"/>
        </w:rPr>
        <w:t xml:space="preserve">Le quorum minimal </w:t>
      </w:r>
      <w:proofErr w:type="spellStart"/>
      <w:r w:rsidRPr="00832BB6">
        <w:rPr>
          <w:rFonts w:ascii="Garamond" w:hAnsi="Garamond"/>
        </w:rPr>
        <w:t>nécessaire</w:t>
      </w:r>
      <w:proofErr w:type="spellEnd"/>
      <w:r w:rsidRPr="00832BB6">
        <w:rPr>
          <w:rFonts w:ascii="Garamond" w:hAnsi="Garamond"/>
        </w:rPr>
        <w:t xml:space="preserve"> à la tenue du Conseil </w:t>
      </w:r>
      <w:proofErr w:type="spellStart"/>
      <w:r w:rsidRPr="00832BB6">
        <w:rPr>
          <w:rFonts w:ascii="Garamond" w:hAnsi="Garamond"/>
        </w:rPr>
        <w:t>féministe</w:t>
      </w:r>
      <w:proofErr w:type="spellEnd"/>
      <w:r w:rsidRPr="00832BB6">
        <w:rPr>
          <w:rFonts w:ascii="Garamond" w:hAnsi="Garamond"/>
        </w:rPr>
        <w:t xml:space="preserve"> est du tiers des personnes de sexe et/ou de genre </w:t>
      </w:r>
      <w:proofErr w:type="spellStart"/>
      <w:r w:rsidRPr="00832BB6">
        <w:rPr>
          <w:rFonts w:ascii="Garamond" w:hAnsi="Garamond"/>
        </w:rPr>
        <w:t>féminin</w:t>
      </w:r>
      <w:proofErr w:type="spellEnd"/>
      <w:r w:rsidRPr="00832BB6">
        <w:rPr>
          <w:rFonts w:ascii="Garamond" w:hAnsi="Garamond"/>
        </w:rPr>
        <w:t xml:space="preserve"> qui soient membres de l’A</w:t>
      </w:r>
      <w:r w:rsidRPr="00832BB6">
        <w:rPr>
          <w:rFonts w:ascii="Calibri" w:eastAsia="Calibri" w:hAnsi="Calibri" w:cs="Calibri"/>
        </w:rPr>
        <w:t>É</w:t>
      </w:r>
      <w:r w:rsidRPr="00832BB6">
        <w:rPr>
          <w:rFonts w:ascii="Garamond" w:hAnsi="Garamond"/>
        </w:rPr>
        <w:t xml:space="preserve">SPEP ou de trois personnes de sexe et/ou de genre </w:t>
      </w:r>
      <w:proofErr w:type="spellStart"/>
      <w:r w:rsidRPr="00832BB6">
        <w:rPr>
          <w:rFonts w:ascii="Garamond" w:hAnsi="Garamond"/>
        </w:rPr>
        <w:t>f</w:t>
      </w:r>
      <w:r w:rsidRPr="00832BB6">
        <w:rPr>
          <w:rFonts w:ascii="Calibri" w:eastAsia="Calibri" w:hAnsi="Calibri" w:cs="Calibri"/>
        </w:rPr>
        <w:t>é</w:t>
      </w:r>
      <w:r w:rsidRPr="00832BB6">
        <w:rPr>
          <w:rFonts w:ascii="Garamond" w:hAnsi="Garamond"/>
        </w:rPr>
        <w:t>minin</w:t>
      </w:r>
      <w:proofErr w:type="spellEnd"/>
      <w:r w:rsidRPr="00832BB6">
        <w:rPr>
          <w:rFonts w:ascii="Garamond" w:hAnsi="Garamond"/>
        </w:rPr>
        <w:t xml:space="preserve"> dans le cas où il y aurait moins de neuf personnes de sexe et/ou de</w:t>
      </w:r>
      <w:r w:rsidR="00647913" w:rsidRPr="00832BB6">
        <w:rPr>
          <w:rFonts w:ascii="Garamond" w:hAnsi="Garamond"/>
        </w:rPr>
        <w:t xml:space="preserve"> genre </w:t>
      </w:r>
      <w:proofErr w:type="spellStart"/>
      <w:r w:rsidR="00647913" w:rsidRPr="00832BB6">
        <w:rPr>
          <w:rFonts w:ascii="Garamond" w:hAnsi="Garamond"/>
        </w:rPr>
        <w:t>féminin</w:t>
      </w:r>
      <w:proofErr w:type="spellEnd"/>
      <w:r w:rsidR="00647913" w:rsidRPr="00832BB6">
        <w:rPr>
          <w:rFonts w:ascii="Garamond" w:hAnsi="Garamond"/>
        </w:rPr>
        <w:t xml:space="preserve"> qui soient membres de l’A</w:t>
      </w:r>
      <w:r w:rsidR="00647913" w:rsidRPr="00832BB6">
        <w:rPr>
          <w:rFonts w:ascii="Calibri" w:eastAsia="Calibri" w:hAnsi="Calibri" w:cs="Calibri"/>
        </w:rPr>
        <w:t>É</w:t>
      </w:r>
      <w:r w:rsidR="00647913" w:rsidRPr="00832BB6">
        <w:rPr>
          <w:rFonts w:ascii="Garamond" w:hAnsi="Garamond"/>
        </w:rPr>
        <w:t xml:space="preserve">SPEP. Le conseil </w:t>
      </w:r>
      <w:proofErr w:type="spellStart"/>
      <w:r w:rsidR="00647913" w:rsidRPr="00832BB6">
        <w:rPr>
          <w:rFonts w:ascii="Garamond" w:hAnsi="Garamond"/>
        </w:rPr>
        <w:t>f</w:t>
      </w:r>
      <w:r w:rsidR="00647913" w:rsidRPr="00832BB6">
        <w:rPr>
          <w:rFonts w:ascii="Calibri" w:eastAsia="Calibri" w:hAnsi="Calibri" w:cs="Calibri"/>
        </w:rPr>
        <w:t>é</w:t>
      </w:r>
      <w:r w:rsidR="00647913" w:rsidRPr="00832BB6">
        <w:rPr>
          <w:rFonts w:ascii="Garamond" w:hAnsi="Garamond"/>
        </w:rPr>
        <w:t>ministe</w:t>
      </w:r>
      <w:proofErr w:type="spellEnd"/>
      <w:r w:rsidR="00647913" w:rsidRPr="00832BB6">
        <w:rPr>
          <w:rFonts w:ascii="Garamond" w:hAnsi="Garamond"/>
        </w:rPr>
        <w:t xml:space="preserve"> doit </w:t>
      </w:r>
      <w:proofErr w:type="spellStart"/>
      <w:r w:rsidR="00647913" w:rsidRPr="00832BB6">
        <w:rPr>
          <w:rFonts w:ascii="Calibri" w:eastAsia="Calibri" w:hAnsi="Calibri" w:cs="Calibri"/>
        </w:rPr>
        <w:t>ê</w:t>
      </w:r>
      <w:r w:rsidR="00647913" w:rsidRPr="00832BB6">
        <w:rPr>
          <w:rFonts w:ascii="Garamond" w:hAnsi="Garamond"/>
        </w:rPr>
        <w:t>tre</w:t>
      </w:r>
      <w:proofErr w:type="spellEnd"/>
      <w:r w:rsidR="00647913" w:rsidRPr="00832BB6">
        <w:rPr>
          <w:rFonts w:ascii="Garamond" w:hAnsi="Garamond"/>
        </w:rPr>
        <w:t xml:space="preserve"> convoqu</w:t>
      </w:r>
      <w:r w:rsidR="00647913" w:rsidRPr="00832BB6">
        <w:rPr>
          <w:rFonts w:ascii="Calibri" w:eastAsia="Calibri" w:hAnsi="Calibri" w:cs="Calibri"/>
        </w:rPr>
        <w:t>é</w:t>
      </w:r>
      <w:r w:rsidR="00647913" w:rsidRPr="00832BB6">
        <w:rPr>
          <w:rFonts w:ascii="Garamond" w:hAnsi="Garamond"/>
        </w:rPr>
        <w:t xml:space="preserve"> au moins une fois </w:t>
      </w:r>
      <w:r w:rsidR="00647913" w:rsidRPr="00832BB6">
        <w:rPr>
          <w:rFonts w:ascii="Calibri" w:eastAsia="Calibri" w:hAnsi="Calibri" w:cs="Calibri"/>
        </w:rPr>
        <w:t>à</w:t>
      </w:r>
      <w:r w:rsidR="00647913" w:rsidRPr="00832BB6">
        <w:rPr>
          <w:rFonts w:ascii="Garamond" w:hAnsi="Garamond"/>
        </w:rPr>
        <w:t xml:space="preserve"> la session d’automne et une fois </w:t>
      </w:r>
      <w:r w:rsidR="00647913" w:rsidRPr="00832BB6">
        <w:rPr>
          <w:rFonts w:ascii="Calibri" w:eastAsia="Calibri" w:hAnsi="Calibri" w:cs="Calibri"/>
        </w:rPr>
        <w:t>à</w:t>
      </w:r>
      <w:r w:rsidR="00647913" w:rsidRPr="00832BB6">
        <w:rPr>
          <w:rFonts w:ascii="Garamond" w:hAnsi="Garamond"/>
        </w:rPr>
        <w:t xml:space="preserve"> la session d’hiver avec un </w:t>
      </w:r>
      <w:proofErr w:type="spellStart"/>
      <w:r w:rsidR="00647913" w:rsidRPr="00832BB6">
        <w:rPr>
          <w:rFonts w:ascii="Garamond" w:hAnsi="Garamond"/>
        </w:rPr>
        <w:t>pr</w:t>
      </w:r>
      <w:r w:rsidR="00647913" w:rsidRPr="00832BB6">
        <w:rPr>
          <w:rFonts w:ascii="Calibri" w:eastAsia="Calibri" w:hAnsi="Calibri" w:cs="Calibri"/>
        </w:rPr>
        <w:t>é</w:t>
      </w:r>
      <w:r w:rsidR="00647913" w:rsidRPr="00832BB6">
        <w:rPr>
          <w:rFonts w:ascii="Garamond" w:hAnsi="Garamond"/>
        </w:rPr>
        <w:t>avis</w:t>
      </w:r>
      <w:proofErr w:type="spellEnd"/>
      <w:r w:rsidR="00647913" w:rsidRPr="00832BB6">
        <w:rPr>
          <w:rFonts w:ascii="Garamond" w:hAnsi="Garamond"/>
        </w:rPr>
        <w:t xml:space="preserve"> minimal d’une semaine pour tous et toutes les membres. Il peut </w:t>
      </w:r>
      <w:proofErr w:type="spellStart"/>
      <w:r w:rsidR="00647913" w:rsidRPr="00832BB6">
        <w:rPr>
          <w:rFonts w:ascii="Garamond" w:hAnsi="Garamond"/>
        </w:rPr>
        <w:t>e</w:t>
      </w:r>
      <w:r w:rsidR="00647913" w:rsidRPr="00832BB6">
        <w:rPr>
          <w:rFonts w:ascii="Calibri" w:eastAsia="Calibri" w:hAnsi="Calibri" w:cs="Calibri"/>
        </w:rPr>
        <w:t>̂</w:t>
      </w:r>
      <w:r w:rsidR="00647913" w:rsidRPr="00832BB6">
        <w:rPr>
          <w:rFonts w:ascii="Garamond" w:hAnsi="Garamond"/>
        </w:rPr>
        <w:t>tre</w:t>
      </w:r>
      <w:proofErr w:type="spellEnd"/>
      <w:r w:rsidR="00647913" w:rsidRPr="00832BB6">
        <w:rPr>
          <w:rFonts w:ascii="Garamond" w:hAnsi="Garamond"/>
        </w:rPr>
        <w:t xml:space="preserve"> convoqu</w:t>
      </w:r>
      <w:r w:rsidR="00647913" w:rsidRPr="00832BB6">
        <w:rPr>
          <w:rFonts w:ascii="Calibri" w:eastAsia="Calibri" w:hAnsi="Calibri" w:cs="Calibri"/>
        </w:rPr>
        <w:t>é</w:t>
      </w:r>
      <w:r w:rsidR="00647913" w:rsidRPr="00832BB6">
        <w:rPr>
          <w:rFonts w:ascii="Garamond" w:hAnsi="Garamond"/>
        </w:rPr>
        <w:t xml:space="preserve"> </w:t>
      </w:r>
      <w:proofErr w:type="spellStart"/>
      <w:r w:rsidR="00647913" w:rsidRPr="00832BB6">
        <w:rPr>
          <w:rFonts w:ascii="Garamond" w:hAnsi="Garamond"/>
        </w:rPr>
        <w:lastRenderedPageBreak/>
        <w:t>ind</w:t>
      </w:r>
      <w:r w:rsidR="00647913" w:rsidRPr="00832BB6">
        <w:rPr>
          <w:rFonts w:ascii="Calibri" w:eastAsia="Calibri" w:hAnsi="Calibri" w:cs="Calibri"/>
        </w:rPr>
        <w:t>é</w:t>
      </w:r>
      <w:r w:rsidR="00647913" w:rsidRPr="00832BB6">
        <w:rPr>
          <w:rFonts w:ascii="Garamond" w:hAnsi="Garamond"/>
        </w:rPr>
        <w:t>pendamment</w:t>
      </w:r>
      <w:proofErr w:type="spellEnd"/>
      <w:r w:rsidR="00647913" w:rsidRPr="00832BB6">
        <w:rPr>
          <w:rFonts w:ascii="Garamond" w:hAnsi="Garamond"/>
        </w:rPr>
        <w:t xml:space="preserve"> d’une AG comme il peut </w:t>
      </w:r>
      <w:proofErr w:type="spellStart"/>
      <w:r w:rsidR="00647913" w:rsidRPr="00832BB6">
        <w:rPr>
          <w:rFonts w:ascii="Calibri" w:eastAsia="Calibri" w:hAnsi="Calibri" w:cs="Calibri"/>
        </w:rPr>
        <w:t>ê</w:t>
      </w:r>
      <w:r w:rsidR="00647913" w:rsidRPr="00832BB6">
        <w:rPr>
          <w:rFonts w:ascii="Garamond" w:hAnsi="Garamond"/>
        </w:rPr>
        <w:t>tre</w:t>
      </w:r>
      <w:proofErr w:type="spellEnd"/>
      <w:r w:rsidR="00647913" w:rsidRPr="00832BB6">
        <w:rPr>
          <w:rFonts w:ascii="Garamond" w:hAnsi="Garamond"/>
        </w:rPr>
        <w:t xml:space="preserve"> convoqu</w:t>
      </w:r>
      <w:r w:rsidR="00647913" w:rsidRPr="00832BB6">
        <w:rPr>
          <w:rFonts w:ascii="Calibri" w:eastAsia="Calibri" w:hAnsi="Calibri" w:cs="Calibri"/>
        </w:rPr>
        <w:t>é</w:t>
      </w:r>
      <w:r w:rsidR="00647913" w:rsidRPr="00832BB6">
        <w:rPr>
          <w:rFonts w:ascii="Garamond" w:hAnsi="Garamond"/>
        </w:rPr>
        <w:t xml:space="preserve"> </w:t>
      </w:r>
      <w:r w:rsidR="00647913" w:rsidRPr="00832BB6">
        <w:rPr>
          <w:rFonts w:ascii="Calibri" w:eastAsia="Calibri" w:hAnsi="Calibri" w:cs="Calibri"/>
        </w:rPr>
        <w:t>à</w:t>
      </w:r>
      <w:r w:rsidR="00647913" w:rsidRPr="00832BB6">
        <w:rPr>
          <w:rFonts w:ascii="Garamond" w:hAnsi="Garamond"/>
        </w:rPr>
        <w:t xml:space="preserve"> l’</w:t>
      </w:r>
      <w:proofErr w:type="spellStart"/>
      <w:r w:rsidR="00647913" w:rsidRPr="00832BB6">
        <w:rPr>
          <w:rFonts w:ascii="Garamond" w:hAnsi="Garamond"/>
        </w:rPr>
        <w:t>int</w:t>
      </w:r>
      <w:r w:rsidR="00647913" w:rsidRPr="00832BB6">
        <w:rPr>
          <w:rFonts w:ascii="Calibri" w:eastAsia="Calibri" w:hAnsi="Calibri" w:cs="Calibri"/>
        </w:rPr>
        <w:t>é</w:t>
      </w:r>
      <w:r w:rsidR="00647913" w:rsidRPr="00832BB6">
        <w:rPr>
          <w:rFonts w:ascii="Garamond" w:hAnsi="Garamond"/>
        </w:rPr>
        <w:t>rieur</w:t>
      </w:r>
      <w:proofErr w:type="spellEnd"/>
      <w:r w:rsidR="00647913" w:rsidRPr="00832BB6">
        <w:rPr>
          <w:rFonts w:ascii="Garamond" w:hAnsi="Garamond"/>
        </w:rPr>
        <w:t xml:space="preserve"> d’une AG </w:t>
      </w:r>
      <w:r w:rsidR="00647913" w:rsidRPr="00832BB6">
        <w:rPr>
          <w:rFonts w:ascii="Calibri" w:eastAsia="Calibri" w:hAnsi="Calibri" w:cs="Calibri"/>
        </w:rPr>
        <w:t>à</w:t>
      </w:r>
      <w:r w:rsidR="00647913" w:rsidRPr="00832BB6">
        <w:rPr>
          <w:rFonts w:ascii="Garamond" w:hAnsi="Garamond"/>
        </w:rPr>
        <w:t xml:space="preserve"> condition que la convocation de l’AG </w:t>
      </w:r>
      <w:proofErr w:type="spellStart"/>
      <w:r w:rsidR="00647913" w:rsidRPr="00832BB6">
        <w:rPr>
          <w:rFonts w:ascii="Garamond" w:hAnsi="Garamond"/>
        </w:rPr>
        <w:t>pr</w:t>
      </w:r>
      <w:r w:rsidR="00647913" w:rsidRPr="00832BB6">
        <w:rPr>
          <w:rFonts w:ascii="Calibri" w:eastAsia="Calibri" w:hAnsi="Calibri" w:cs="Calibri"/>
        </w:rPr>
        <w:t>é</w:t>
      </w:r>
      <w:r w:rsidR="00647913" w:rsidRPr="00832BB6">
        <w:rPr>
          <w:rFonts w:ascii="Garamond" w:hAnsi="Garamond"/>
        </w:rPr>
        <w:t>cise</w:t>
      </w:r>
      <w:proofErr w:type="spellEnd"/>
      <w:r w:rsidR="00647913" w:rsidRPr="00832BB6">
        <w:rPr>
          <w:rFonts w:ascii="Garamond" w:hAnsi="Garamond"/>
        </w:rPr>
        <w:t xml:space="preserve"> que le conseil </w:t>
      </w:r>
      <w:proofErr w:type="spellStart"/>
      <w:r w:rsidR="00647913" w:rsidRPr="00832BB6">
        <w:rPr>
          <w:rFonts w:ascii="Garamond" w:hAnsi="Garamond"/>
        </w:rPr>
        <w:t>f</w:t>
      </w:r>
      <w:r w:rsidR="00647913" w:rsidRPr="00832BB6">
        <w:rPr>
          <w:rFonts w:ascii="Calibri" w:eastAsia="Calibri" w:hAnsi="Calibri" w:cs="Calibri"/>
        </w:rPr>
        <w:t>é</w:t>
      </w:r>
      <w:r w:rsidR="00647913" w:rsidRPr="00832BB6">
        <w:rPr>
          <w:rFonts w:ascii="Garamond" w:hAnsi="Garamond"/>
        </w:rPr>
        <w:t>ministe</w:t>
      </w:r>
      <w:proofErr w:type="spellEnd"/>
      <w:r w:rsidR="00647913" w:rsidRPr="00832BB6">
        <w:rPr>
          <w:rFonts w:ascii="Garamond" w:hAnsi="Garamond"/>
        </w:rPr>
        <w:t xml:space="preserve"> se </w:t>
      </w:r>
      <w:proofErr w:type="spellStart"/>
      <w:r w:rsidR="00647913" w:rsidRPr="00832BB6">
        <w:rPr>
          <w:rFonts w:ascii="Garamond" w:hAnsi="Garamond"/>
        </w:rPr>
        <w:t>r</w:t>
      </w:r>
      <w:r w:rsidR="00647913" w:rsidRPr="00832BB6">
        <w:rPr>
          <w:rFonts w:ascii="Calibri" w:eastAsia="Calibri" w:hAnsi="Calibri" w:cs="Calibri"/>
        </w:rPr>
        <w:t>é</w:t>
      </w:r>
      <w:r w:rsidR="00647913" w:rsidRPr="00832BB6">
        <w:rPr>
          <w:rFonts w:ascii="Garamond" w:hAnsi="Garamond"/>
        </w:rPr>
        <w:t>unira</w:t>
      </w:r>
      <w:proofErr w:type="spellEnd"/>
      <w:r w:rsidR="00647913" w:rsidRPr="00832BB6">
        <w:rPr>
          <w:rFonts w:ascii="Garamond" w:hAnsi="Garamond"/>
        </w:rPr>
        <w:t xml:space="preserve"> </w:t>
      </w:r>
      <w:r w:rsidR="00647913" w:rsidRPr="00832BB6">
        <w:rPr>
          <w:rFonts w:ascii="Calibri" w:eastAsia="Calibri" w:hAnsi="Calibri" w:cs="Calibri"/>
        </w:rPr>
        <w:t>à</w:t>
      </w:r>
      <w:r w:rsidR="00647913" w:rsidRPr="00832BB6">
        <w:rPr>
          <w:rFonts w:ascii="Garamond" w:hAnsi="Garamond"/>
        </w:rPr>
        <w:t xml:space="preserve"> l’</w:t>
      </w:r>
      <w:proofErr w:type="spellStart"/>
      <w:r w:rsidR="00647913" w:rsidRPr="00832BB6">
        <w:rPr>
          <w:rFonts w:ascii="Garamond" w:hAnsi="Garamond"/>
        </w:rPr>
        <w:t>int</w:t>
      </w:r>
      <w:r w:rsidR="00647913" w:rsidRPr="00832BB6">
        <w:rPr>
          <w:rFonts w:ascii="Calibri" w:eastAsia="Calibri" w:hAnsi="Calibri" w:cs="Calibri"/>
        </w:rPr>
        <w:t>é</w:t>
      </w:r>
      <w:r w:rsidR="00647913" w:rsidRPr="00832BB6">
        <w:rPr>
          <w:rFonts w:ascii="Garamond" w:hAnsi="Garamond"/>
        </w:rPr>
        <w:t>rieur</w:t>
      </w:r>
      <w:proofErr w:type="spellEnd"/>
      <w:r w:rsidR="00647913" w:rsidRPr="00832BB6">
        <w:rPr>
          <w:rFonts w:ascii="Garamond" w:hAnsi="Garamond"/>
        </w:rPr>
        <w:t xml:space="preserve"> de </w:t>
      </w:r>
      <w:proofErr w:type="spellStart"/>
      <w:r w:rsidR="00647913" w:rsidRPr="00832BB6">
        <w:rPr>
          <w:rFonts w:ascii="Garamond" w:hAnsi="Garamond"/>
        </w:rPr>
        <w:t>l’AG.</w:t>
      </w:r>
      <w:proofErr w:type="spellEnd"/>
      <w:r w:rsidR="00647913" w:rsidRPr="00832BB6">
        <w:rPr>
          <w:rFonts w:ascii="Garamond" w:hAnsi="Garamond"/>
        </w:rPr>
        <w:t xml:space="preserve"> Dans tous les cas, le conseil </w:t>
      </w:r>
      <w:proofErr w:type="spellStart"/>
      <w:r w:rsidR="00647913" w:rsidRPr="00832BB6">
        <w:rPr>
          <w:rFonts w:ascii="Garamond" w:hAnsi="Garamond"/>
        </w:rPr>
        <w:t>féministe</w:t>
      </w:r>
      <w:proofErr w:type="spellEnd"/>
      <w:r w:rsidR="00647913" w:rsidRPr="00832BB6">
        <w:rPr>
          <w:rFonts w:ascii="Garamond" w:hAnsi="Garamond"/>
        </w:rPr>
        <w:t xml:space="preserve"> doit </w:t>
      </w:r>
      <w:proofErr w:type="spellStart"/>
      <w:r w:rsidR="00647913" w:rsidRPr="00832BB6">
        <w:rPr>
          <w:rFonts w:ascii="Garamond" w:hAnsi="Garamond"/>
        </w:rPr>
        <w:t>e</w:t>
      </w:r>
      <w:r w:rsidR="00647913" w:rsidRPr="00832BB6">
        <w:rPr>
          <w:rFonts w:ascii="Calibri" w:eastAsia="Calibri" w:hAnsi="Calibri" w:cs="Calibri"/>
        </w:rPr>
        <w:t>̂</w:t>
      </w:r>
      <w:r w:rsidR="00647913" w:rsidRPr="00832BB6">
        <w:rPr>
          <w:rFonts w:ascii="Garamond" w:hAnsi="Garamond"/>
        </w:rPr>
        <w:t>tre</w:t>
      </w:r>
      <w:proofErr w:type="spellEnd"/>
      <w:r w:rsidR="00647913" w:rsidRPr="00832BB6">
        <w:rPr>
          <w:rFonts w:ascii="Garamond" w:hAnsi="Garamond"/>
        </w:rPr>
        <w:t xml:space="preserve"> </w:t>
      </w:r>
      <w:proofErr w:type="spellStart"/>
      <w:r w:rsidR="00647913" w:rsidRPr="00832BB6">
        <w:rPr>
          <w:rFonts w:ascii="Garamond" w:hAnsi="Garamond"/>
        </w:rPr>
        <w:t>pr</w:t>
      </w:r>
      <w:r w:rsidR="00647913" w:rsidRPr="00832BB6">
        <w:rPr>
          <w:rFonts w:ascii="Calibri" w:eastAsia="Calibri" w:hAnsi="Calibri" w:cs="Calibri"/>
        </w:rPr>
        <w:t>é</w:t>
      </w:r>
      <w:r w:rsidR="00647913" w:rsidRPr="00832BB6">
        <w:rPr>
          <w:rFonts w:ascii="Garamond" w:hAnsi="Garamond"/>
        </w:rPr>
        <w:t>side</w:t>
      </w:r>
      <w:proofErr w:type="spellEnd"/>
      <w:r w:rsidR="00647913" w:rsidRPr="00832BB6">
        <w:rPr>
          <w:rFonts w:ascii="Garamond" w:hAnsi="Garamond"/>
        </w:rPr>
        <w:t xml:space="preserve">́ par une personne de sexe et/ou de genre </w:t>
      </w:r>
      <w:proofErr w:type="spellStart"/>
      <w:r w:rsidR="00647913" w:rsidRPr="00832BB6">
        <w:rPr>
          <w:rFonts w:ascii="Garamond" w:hAnsi="Garamond"/>
        </w:rPr>
        <w:t>féminin</w:t>
      </w:r>
      <w:proofErr w:type="spellEnd"/>
      <w:r w:rsidR="00647913" w:rsidRPr="00832BB6">
        <w:rPr>
          <w:rFonts w:ascii="Garamond" w:hAnsi="Garamond"/>
        </w:rPr>
        <w:t xml:space="preserve">. N’importe </w:t>
      </w:r>
      <w:proofErr w:type="spellStart"/>
      <w:r w:rsidR="00647913" w:rsidRPr="00832BB6">
        <w:rPr>
          <w:rFonts w:ascii="Garamond" w:hAnsi="Garamond"/>
        </w:rPr>
        <w:t>quel-le</w:t>
      </w:r>
      <w:proofErr w:type="spellEnd"/>
      <w:r w:rsidR="00647913" w:rsidRPr="00832BB6">
        <w:rPr>
          <w:rFonts w:ascii="Garamond" w:hAnsi="Garamond"/>
        </w:rPr>
        <w:t xml:space="preserve"> membre de l’A</w:t>
      </w:r>
      <w:r w:rsidR="00647913" w:rsidRPr="00832BB6">
        <w:rPr>
          <w:rFonts w:ascii="Calibri" w:eastAsia="Calibri" w:hAnsi="Calibri" w:cs="Calibri"/>
        </w:rPr>
        <w:t>É</w:t>
      </w:r>
      <w:r w:rsidR="00647913" w:rsidRPr="00832BB6">
        <w:rPr>
          <w:rFonts w:ascii="Garamond" w:hAnsi="Garamond"/>
        </w:rPr>
        <w:t xml:space="preserve">SPEP peut demander la </w:t>
      </w:r>
      <w:proofErr w:type="spellStart"/>
      <w:r w:rsidR="00647913" w:rsidRPr="00832BB6">
        <w:rPr>
          <w:rFonts w:ascii="Garamond" w:hAnsi="Garamond"/>
        </w:rPr>
        <w:t>r</w:t>
      </w:r>
      <w:r w:rsidR="00647913" w:rsidRPr="00832BB6">
        <w:rPr>
          <w:rFonts w:ascii="Calibri" w:eastAsia="Calibri" w:hAnsi="Calibri" w:cs="Calibri"/>
        </w:rPr>
        <w:t>é</w:t>
      </w:r>
      <w:r w:rsidR="00647913" w:rsidRPr="00832BB6">
        <w:rPr>
          <w:rFonts w:ascii="Garamond" w:hAnsi="Garamond"/>
        </w:rPr>
        <w:t>union</w:t>
      </w:r>
      <w:proofErr w:type="spellEnd"/>
      <w:r w:rsidR="00647913" w:rsidRPr="00832BB6">
        <w:rPr>
          <w:rFonts w:ascii="Garamond" w:hAnsi="Garamond"/>
        </w:rPr>
        <w:t xml:space="preserve"> du Conseil. Il ou elle doit en faire la demande au </w:t>
      </w:r>
      <w:proofErr w:type="spellStart"/>
      <w:r w:rsidR="00647913" w:rsidRPr="00832BB6">
        <w:rPr>
          <w:rFonts w:ascii="Garamond" w:hAnsi="Garamond"/>
        </w:rPr>
        <w:t>pr</w:t>
      </w:r>
      <w:r w:rsidR="00647913" w:rsidRPr="00832BB6">
        <w:rPr>
          <w:rFonts w:ascii="Calibri" w:eastAsia="Calibri" w:hAnsi="Calibri" w:cs="Calibri"/>
        </w:rPr>
        <w:t>é</w:t>
      </w:r>
      <w:r w:rsidR="00647913" w:rsidRPr="00832BB6">
        <w:rPr>
          <w:rFonts w:ascii="Garamond" w:hAnsi="Garamond"/>
        </w:rPr>
        <w:t>sident</w:t>
      </w:r>
      <w:proofErr w:type="spellEnd"/>
      <w:r w:rsidR="00647913" w:rsidRPr="00832BB6">
        <w:rPr>
          <w:rFonts w:ascii="Garamond" w:hAnsi="Garamond"/>
        </w:rPr>
        <w:t xml:space="preserve"> ou </w:t>
      </w:r>
      <w:r w:rsidR="00647913" w:rsidRPr="00832BB6">
        <w:rPr>
          <w:rFonts w:ascii="Calibri" w:eastAsia="Calibri" w:hAnsi="Calibri" w:cs="Calibri"/>
        </w:rPr>
        <w:t>à</w:t>
      </w:r>
      <w:r w:rsidR="00647913" w:rsidRPr="00832BB6">
        <w:rPr>
          <w:rFonts w:ascii="Garamond" w:hAnsi="Garamond"/>
        </w:rPr>
        <w:t xml:space="preserve"> la </w:t>
      </w:r>
      <w:proofErr w:type="spellStart"/>
      <w:r w:rsidR="00647913" w:rsidRPr="00832BB6">
        <w:rPr>
          <w:rFonts w:ascii="Garamond" w:hAnsi="Garamond"/>
        </w:rPr>
        <w:t>pr</w:t>
      </w:r>
      <w:r w:rsidR="00647913" w:rsidRPr="00832BB6">
        <w:rPr>
          <w:rFonts w:ascii="Calibri" w:eastAsia="Calibri" w:hAnsi="Calibri" w:cs="Calibri"/>
        </w:rPr>
        <w:t>é</w:t>
      </w:r>
      <w:r w:rsidR="00647913" w:rsidRPr="00832BB6">
        <w:rPr>
          <w:rFonts w:ascii="Garamond" w:hAnsi="Garamond"/>
        </w:rPr>
        <w:t>sidente</w:t>
      </w:r>
      <w:proofErr w:type="spellEnd"/>
      <w:r w:rsidR="00647913" w:rsidRPr="00832BB6">
        <w:rPr>
          <w:rFonts w:ascii="Garamond" w:hAnsi="Garamond"/>
        </w:rPr>
        <w:t xml:space="preserve"> qui dispose alors de 3 jours pour convoquer le Conseil, qui doit se tenir au minimum dans les 7 jours et au maximum dans les 14 jours suivants sa convocation. Toutes les </w:t>
      </w:r>
      <w:proofErr w:type="spellStart"/>
      <w:r w:rsidR="00647913" w:rsidRPr="00832BB6">
        <w:rPr>
          <w:rFonts w:ascii="Garamond" w:hAnsi="Garamond"/>
        </w:rPr>
        <w:t>procédures</w:t>
      </w:r>
      <w:proofErr w:type="spellEnd"/>
      <w:r w:rsidR="00647913" w:rsidRPr="00832BB6">
        <w:rPr>
          <w:rFonts w:ascii="Garamond" w:hAnsi="Garamond"/>
        </w:rPr>
        <w:t xml:space="preserve"> ne figurant pas dans le </w:t>
      </w:r>
      <w:proofErr w:type="spellStart"/>
      <w:r w:rsidR="00647913" w:rsidRPr="00832BB6">
        <w:rPr>
          <w:rFonts w:ascii="Garamond" w:hAnsi="Garamond"/>
        </w:rPr>
        <w:t>présent</w:t>
      </w:r>
      <w:proofErr w:type="spellEnd"/>
      <w:r w:rsidR="00647913" w:rsidRPr="00832BB6">
        <w:rPr>
          <w:rFonts w:ascii="Garamond" w:hAnsi="Garamond"/>
        </w:rPr>
        <w:t xml:space="preserve"> article sont les </w:t>
      </w:r>
      <w:proofErr w:type="spellStart"/>
      <w:r w:rsidR="00647913" w:rsidRPr="00832BB6">
        <w:rPr>
          <w:rFonts w:ascii="Garamond" w:hAnsi="Garamond"/>
        </w:rPr>
        <w:t>me</w:t>
      </w:r>
      <w:r w:rsidR="00647913" w:rsidRPr="00832BB6">
        <w:rPr>
          <w:rFonts w:ascii="Calibri" w:eastAsia="Calibri" w:hAnsi="Calibri" w:cs="Calibri"/>
        </w:rPr>
        <w:t>̂</w:t>
      </w:r>
      <w:r w:rsidR="00647913" w:rsidRPr="00832BB6">
        <w:rPr>
          <w:rFonts w:ascii="Garamond" w:hAnsi="Garamond"/>
        </w:rPr>
        <w:t>mes</w:t>
      </w:r>
      <w:proofErr w:type="spellEnd"/>
      <w:r w:rsidR="00647913" w:rsidRPr="00832BB6">
        <w:rPr>
          <w:rFonts w:ascii="Garamond" w:hAnsi="Garamond"/>
        </w:rPr>
        <w:t xml:space="preserve"> que lors de la tenue d’une AG.</w:t>
      </w:r>
    </w:p>
    <w:p w14:paraId="0315AEDA" w14:textId="77777777" w:rsidR="00647913" w:rsidRPr="00832BB6" w:rsidRDefault="00647913" w:rsidP="00647913">
      <w:pPr>
        <w:widowControl w:val="0"/>
        <w:tabs>
          <w:tab w:val="left" w:pos="220"/>
          <w:tab w:val="left" w:pos="720"/>
        </w:tabs>
        <w:autoSpaceDE w:val="0"/>
        <w:autoSpaceDN w:val="0"/>
        <w:adjustRightInd w:val="0"/>
        <w:spacing w:after="266"/>
        <w:ind w:left="720"/>
        <w:rPr>
          <w:rFonts w:ascii="Garamond" w:hAnsi="Garamond"/>
        </w:rPr>
      </w:pPr>
      <w:r w:rsidRPr="00832BB6">
        <w:rPr>
          <w:rFonts w:ascii="Garamond" w:hAnsi="Garamond"/>
        </w:rPr>
        <w:t>Caucus non-mixte :</w:t>
      </w:r>
    </w:p>
    <w:p w14:paraId="71E19438" w14:textId="77777777" w:rsidR="00647913" w:rsidRPr="00832BB6" w:rsidRDefault="00647913" w:rsidP="00647913">
      <w:pPr>
        <w:widowControl w:val="0"/>
        <w:tabs>
          <w:tab w:val="left" w:pos="220"/>
          <w:tab w:val="left" w:pos="720"/>
        </w:tabs>
        <w:autoSpaceDE w:val="0"/>
        <w:autoSpaceDN w:val="0"/>
        <w:adjustRightInd w:val="0"/>
        <w:spacing w:after="266"/>
        <w:ind w:left="720"/>
        <w:rPr>
          <w:rFonts w:ascii="Garamond" w:hAnsi="Garamond"/>
        </w:rPr>
      </w:pPr>
      <w:r w:rsidRPr="00832BB6">
        <w:rPr>
          <w:rFonts w:ascii="Garamond" w:hAnsi="Garamond"/>
        </w:rPr>
        <w:t xml:space="preserve">Si le contexte le demande, il est possible pour les personnes de sexe et/ou de genre </w:t>
      </w:r>
      <w:proofErr w:type="spellStart"/>
      <w:r w:rsidRPr="00832BB6">
        <w:rPr>
          <w:rFonts w:ascii="Garamond" w:hAnsi="Garamond"/>
        </w:rPr>
        <w:t>féminin</w:t>
      </w:r>
      <w:proofErr w:type="spellEnd"/>
      <w:r w:rsidRPr="00832BB6">
        <w:rPr>
          <w:rFonts w:ascii="Garamond" w:hAnsi="Garamond"/>
        </w:rPr>
        <w:t xml:space="preserve"> de se </w:t>
      </w:r>
      <w:proofErr w:type="spellStart"/>
      <w:r w:rsidRPr="00832BB6">
        <w:rPr>
          <w:rFonts w:ascii="Garamond" w:hAnsi="Garamond"/>
        </w:rPr>
        <w:t>réunir</w:t>
      </w:r>
      <w:proofErr w:type="spellEnd"/>
      <w:r w:rsidRPr="00832BB6">
        <w:rPr>
          <w:rFonts w:ascii="Garamond" w:hAnsi="Garamond"/>
        </w:rPr>
        <w:t xml:space="preserve"> entre elles pour discuter de certains sujets sensibles, mais non d’adopter une position ou une </w:t>
      </w:r>
      <w:proofErr w:type="spellStart"/>
      <w:r w:rsidRPr="00832BB6">
        <w:rPr>
          <w:rFonts w:ascii="Garamond" w:hAnsi="Garamond"/>
        </w:rPr>
        <w:t>r</w:t>
      </w:r>
      <w:r w:rsidRPr="00832BB6">
        <w:rPr>
          <w:rFonts w:ascii="Calibri" w:eastAsia="Calibri" w:hAnsi="Calibri" w:cs="Calibri"/>
        </w:rPr>
        <w:t>é</w:t>
      </w:r>
      <w:r w:rsidRPr="00832BB6">
        <w:rPr>
          <w:rFonts w:ascii="Garamond" w:hAnsi="Garamond"/>
        </w:rPr>
        <w:t>solution</w:t>
      </w:r>
      <w:proofErr w:type="spellEnd"/>
      <w:r w:rsidRPr="00832BB6">
        <w:rPr>
          <w:rFonts w:ascii="Garamond" w:hAnsi="Garamond"/>
        </w:rPr>
        <w:t xml:space="preserve"> (excepté en ce qui concerne la </w:t>
      </w:r>
      <w:proofErr w:type="spellStart"/>
      <w:r w:rsidRPr="00832BB6">
        <w:rPr>
          <w:rFonts w:ascii="Garamond" w:hAnsi="Garamond"/>
        </w:rPr>
        <w:t>levée</w:t>
      </w:r>
      <w:proofErr w:type="spellEnd"/>
      <w:r w:rsidRPr="00832BB6">
        <w:rPr>
          <w:rFonts w:ascii="Garamond" w:hAnsi="Garamond"/>
        </w:rPr>
        <w:t xml:space="preserve"> de l’</w:t>
      </w:r>
      <w:proofErr w:type="spellStart"/>
      <w:r w:rsidRPr="00832BB6">
        <w:rPr>
          <w:rFonts w:ascii="Garamond" w:hAnsi="Garamond"/>
        </w:rPr>
        <w:t>exclusivit</w:t>
      </w:r>
      <w:r w:rsidRPr="00832BB6">
        <w:rPr>
          <w:rFonts w:ascii="Calibri" w:eastAsia="Calibri" w:hAnsi="Calibri" w:cs="Calibri"/>
        </w:rPr>
        <w:t>e</w:t>
      </w:r>
      <w:proofErr w:type="spellEnd"/>
      <w:r w:rsidRPr="00832BB6">
        <w:rPr>
          <w:rFonts w:ascii="Calibri" w:eastAsia="Calibri" w:hAnsi="Calibri" w:cs="Calibri"/>
        </w:rPr>
        <w:t>́</w:t>
      </w:r>
      <w:r w:rsidRPr="00832BB6">
        <w:rPr>
          <w:rFonts w:ascii="Garamond" w:hAnsi="Garamond"/>
        </w:rPr>
        <w:t xml:space="preserve"> du vote pour les personnes et sexe et/ou de genre </w:t>
      </w:r>
      <w:proofErr w:type="spellStart"/>
      <w:r w:rsidRPr="00832BB6">
        <w:rPr>
          <w:rFonts w:ascii="Garamond" w:hAnsi="Garamond"/>
        </w:rPr>
        <w:t>f</w:t>
      </w:r>
      <w:r w:rsidRPr="00832BB6">
        <w:rPr>
          <w:rFonts w:ascii="Calibri" w:eastAsia="Calibri" w:hAnsi="Calibri" w:cs="Calibri"/>
        </w:rPr>
        <w:t>é</w:t>
      </w:r>
      <w:r w:rsidRPr="00832BB6">
        <w:rPr>
          <w:rFonts w:ascii="Garamond" w:hAnsi="Garamond"/>
        </w:rPr>
        <w:t>minin</w:t>
      </w:r>
      <w:proofErr w:type="spellEnd"/>
      <w:r w:rsidRPr="00832BB6">
        <w:rPr>
          <w:rFonts w:ascii="Garamond" w:hAnsi="Garamond"/>
        </w:rPr>
        <w:t xml:space="preserve">). Le caucus non-mixte se forme </w:t>
      </w:r>
      <w:proofErr w:type="spellStart"/>
      <w:r w:rsidRPr="00832BB6">
        <w:rPr>
          <w:rFonts w:ascii="Garamond" w:hAnsi="Garamond"/>
        </w:rPr>
        <w:t>d</w:t>
      </w:r>
      <w:r w:rsidRPr="00832BB6">
        <w:rPr>
          <w:rFonts w:ascii="Calibri" w:eastAsia="Calibri" w:hAnsi="Calibri" w:cs="Calibri"/>
        </w:rPr>
        <w:t>è</w:t>
      </w:r>
      <w:r w:rsidRPr="00832BB6">
        <w:rPr>
          <w:rFonts w:ascii="Garamond" w:hAnsi="Garamond"/>
        </w:rPr>
        <w:t>s</w:t>
      </w:r>
      <w:proofErr w:type="spellEnd"/>
      <w:r w:rsidRPr="00832BB6">
        <w:rPr>
          <w:rFonts w:ascii="Garamond" w:hAnsi="Garamond"/>
        </w:rPr>
        <w:t xml:space="preserve"> qu’une personne de sexe et/ou de genre </w:t>
      </w:r>
      <w:proofErr w:type="spellStart"/>
      <w:r w:rsidRPr="00832BB6">
        <w:rPr>
          <w:rFonts w:ascii="Garamond" w:hAnsi="Garamond"/>
        </w:rPr>
        <w:t>f</w:t>
      </w:r>
      <w:r w:rsidRPr="00832BB6">
        <w:rPr>
          <w:rFonts w:ascii="Calibri" w:eastAsia="Calibri" w:hAnsi="Calibri" w:cs="Calibri"/>
        </w:rPr>
        <w:t>é</w:t>
      </w:r>
      <w:r w:rsidRPr="00832BB6">
        <w:rPr>
          <w:rFonts w:ascii="Garamond" w:hAnsi="Garamond"/>
        </w:rPr>
        <w:t>minin</w:t>
      </w:r>
      <w:proofErr w:type="spellEnd"/>
      <w:r w:rsidRPr="00832BB6">
        <w:rPr>
          <w:rFonts w:ascii="Garamond" w:hAnsi="Garamond"/>
        </w:rPr>
        <w:t xml:space="preserve"> en exprime le besoin. La discussion en caucus non-mixte repose sur la bonne foi de la personne en demandant la formation et ne doit en aucun cas servir à exclure du dialogue les membres masculins de l’A</w:t>
      </w:r>
      <w:r w:rsidRPr="00832BB6">
        <w:rPr>
          <w:rFonts w:ascii="Calibri" w:eastAsia="Calibri" w:hAnsi="Calibri" w:cs="Calibri"/>
        </w:rPr>
        <w:t>É</w:t>
      </w:r>
      <w:r w:rsidRPr="00832BB6">
        <w:rPr>
          <w:rFonts w:ascii="Garamond" w:hAnsi="Garamond"/>
        </w:rPr>
        <w:t>SPEP. Ainsi, si l’animatrice d’</w:t>
      </w:r>
      <w:proofErr w:type="spellStart"/>
      <w:r w:rsidRPr="00832BB6">
        <w:rPr>
          <w:rFonts w:ascii="Garamond" w:hAnsi="Garamond"/>
        </w:rPr>
        <w:t>assembl</w:t>
      </w:r>
      <w:r w:rsidRPr="00832BB6">
        <w:rPr>
          <w:rFonts w:ascii="Calibri" w:eastAsia="Calibri" w:hAnsi="Calibri" w:cs="Calibri"/>
        </w:rPr>
        <w:t>é</w:t>
      </w:r>
      <w:r w:rsidRPr="00832BB6">
        <w:rPr>
          <w:rFonts w:ascii="Garamond" w:hAnsi="Garamond"/>
        </w:rPr>
        <w:t>e</w:t>
      </w:r>
      <w:proofErr w:type="spellEnd"/>
      <w:r w:rsidRPr="00832BB6">
        <w:rPr>
          <w:rFonts w:ascii="Garamond" w:hAnsi="Garamond"/>
        </w:rPr>
        <w:t xml:space="preserve"> </w:t>
      </w:r>
      <w:proofErr w:type="spellStart"/>
      <w:r w:rsidRPr="00832BB6">
        <w:rPr>
          <w:rFonts w:ascii="Garamond" w:hAnsi="Garamond"/>
        </w:rPr>
        <w:t>consid</w:t>
      </w:r>
      <w:r w:rsidRPr="00832BB6">
        <w:rPr>
          <w:rFonts w:ascii="Calibri" w:eastAsia="Calibri" w:hAnsi="Calibri" w:cs="Calibri"/>
        </w:rPr>
        <w:t>è</w:t>
      </w:r>
      <w:r w:rsidRPr="00832BB6">
        <w:rPr>
          <w:rFonts w:ascii="Garamond" w:hAnsi="Garamond"/>
        </w:rPr>
        <w:t>re</w:t>
      </w:r>
      <w:proofErr w:type="spellEnd"/>
      <w:r w:rsidRPr="00832BB6">
        <w:rPr>
          <w:rFonts w:ascii="Garamond" w:hAnsi="Garamond"/>
        </w:rPr>
        <w:t xml:space="preserve"> que la demande de caucus repose sur la mauvaise foi de la personne en faisant la demande, elle peut refuser la formation du caucus. Il est possible d’appeler de la </w:t>
      </w:r>
      <w:proofErr w:type="spellStart"/>
      <w:r w:rsidRPr="00832BB6">
        <w:rPr>
          <w:rFonts w:ascii="Garamond" w:hAnsi="Garamond"/>
        </w:rPr>
        <w:t>d</w:t>
      </w:r>
      <w:r w:rsidRPr="00832BB6">
        <w:rPr>
          <w:rFonts w:ascii="Calibri" w:eastAsia="Calibri" w:hAnsi="Calibri" w:cs="Calibri"/>
        </w:rPr>
        <w:t>é</w:t>
      </w:r>
      <w:r w:rsidRPr="00832BB6">
        <w:rPr>
          <w:rFonts w:ascii="Garamond" w:hAnsi="Garamond"/>
        </w:rPr>
        <w:t>cision</w:t>
      </w:r>
      <w:proofErr w:type="spellEnd"/>
      <w:r w:rsidRPr="00832BB6">
        <w:rPr>
          <w:rFonts w:ascii="Garamond" w:hAnsi="Garamond"/>
        </w:rPr>
        <w:t xml:space="preserve"> de l’animatrice selon les </w:t>
      </w:r>
      <w:proofErr w:type="spellStart"/>
      <w:r w:rsidRPr="00832BB6">
        <w:rPr>
          <w:rFonts w:ascii="Garamond" w:hAnsi="Garamond"/>
        </w:rPr>
        <w:t>proc</w:t>
      </w:r>
      <w:r w:rsidRPr="00832BB6">
        <w:rPr>
          <w:rFonts w:ascii="Calibri" w:eastAsia="Calibri" w:hAnsi="Calibri" w:cs="Calibri"/>
        </w:rPr>
        <w:t>é</w:t>
      </w:r>
      <w:r w:rsidRPr="00832BB6">
        <w:rPr>
          <w:rFonts w:ascii="Garamond" w:hAnsi="Garamond"/>
        </w:rPr>
        <w:t>dures</w:t>
      </w:r>
      <w:proofErr w:type="spellEnd"/>
      <w:r w:rsidRPr="00832BB6">
        <w:rPr>
          <w:rFonts w:ascii="Garamond" w:hAnsi="Garamond"/>
        </w:rPr>
        <w:t xml:space="preserve"> d’appel de la </w:t>
      </w:r>
      <w:proofErr w:type="spellStart"/>
      <w:r w:rsidRPr="00832BB6">
        <w:rPr>
          <w:rFonts w:ascii="Garamond" w:hAnsi="Garamond"/>
        </w:rPr>
        <w:t>d</w:t>
      </w:r>
      <w:r w:rsidRPr="00832BB6">
        <w:rPr>
          <w:rFonts w:ascii="Calibri" w:eastAsia="Calibri" w:hAnsi="Calibri" w:cs="Calibri"/>
        </w:rPr>
        <w:t>é</w:t>
      </w:r>
      <w:r w:rsidRPr="00832BB6">
        <w:rPr>
          <w:rFonts w:ascii="Garamond" w:hAnsi="Garamond"/>
        </w:rPr>
        <w:t>cision</w:t>
      </w:r>
      <w:proofErr w:type="spellEnd"/>
      <w:r w:rsidRPr="00832BB6">
        <w:rPr>
          <w:rFonts w:ascii="Garamond" w:hAnsi="Garamond"/>
        </w:rPr>
        <w:t xml:space="preserve"> du </w:t>
      </w:r>
      <w:proofErr w:type="spellStart"/>
      <w:r w:rsidRPr="00832BB6">
        <w:rPr>
          <w:rFonts w:ascii="Garamond" w:hAnsi="Garamond"/>
        </w:rPr>
        <w:t>praesidium</w:t>
      </w:r>
      <w:proofErr w:type="spellEnd"/>
      <w:r w:rsidRPr="00832BB6">
        <w:rPr>
          <w:rFonts w:ascii="Garamond" w:hAnsi="Garamond"/>
        </w:rPr>
        <w:t xml:space="preserve"> habituelles. Au retour en conseil mixte, l’animatrice d’</w:t>
      </w:r>
      <w:proofErr w:type="spellStart"/>
      <w:r w:rsidRPr="00832BB6">
        <w:rPr>
          <w:rFonts w:ascii="Garamond" w:hAnsi="Garamond"/>
        </w:rPr>
        <w:t>assemblée</w:t>
      </w:r>
      <w:proofErr w:type="spellEnd"/>
      <w:r w:rsidRPr="00832BB6">
        <w:rPr>
          <w:rFonts w:ascii="Garamond" w:hAnsi="Garamond"/>
        </w:rPr>
        <w:t xml:space="preserve"> doit </w:t>
      </w:r>
      <w:proofErr w:type="spellStart"/>
      <w:r w:rsidRPr="00832BB6">
        <w:rPr>
          <w:rFonts w:ascii="Garamond" w:hAnsi="Garamond"/>
        </w:rPr>
        <w:t>résumer</w:t>
      </w:r>
      <w:proofErr w:type="spellEnd"/>
      <w:r w:rsidRPr="00832BB6">
        <w:rPr>
          <w:rFonts w:ascii="Garamond" w:hAnsi="Garamond"/>
        </w:rPr>
        <w:t xml:space="preserve"> les propos tenus en caucus sans divulguer les informations pouvant nuire à l’anonymat procur</w:t>
      </w:r>
      <w:r w:rsidRPr="00832BB6">
        <w:rPr>
          <w:rFonts w:ascii="Calibri" w:eastAsia="Calibri" w:hAnsi="Calibri" w:cs="Calibri"/>
        </w:rPr>
        <w:t>é</w:t>
      </w:r>
      <w:r w:rsidRPr="00832BB6">
        <w:rPr>
          <w:rFonts w:ascii="Garamond" w:hAnsi="Garamond"/>
        </w:rPr>
        <w:t xml:space="preserve"> par le caucus.</w:t>
      </w:r>
    </w:p>
    <w:p w14:paraId="76001CEE" w14:textId="77777777" w:rsidR="00104380" w:rsidRPr="00832BB6" w:rsidRDefault="00647913" w:rsidP="00647913">
      <w:pPr>
        <w:widowControl w:val="0"/>
        <w:tabs>
          <w:tab w:val="left" w:pos="220"/>
          <w:tab w:val="left" w:pos="720"/>
        </w:tabs>
        <w:autoSpaceDE w:val="0"/>
        <w:autoSpaceDN w:val="0"/>
        <w:adjustRightInd w:val="0"/>
        <w:spacing w:after="266"/>
        <w:ind w:left="720"/>
        <w:rPr>
          <w:rFonts w:ascii="Garamond" w:hAnsi="Garamond"/>
        </w:rPr>
      </w:pPr>
      <w:proofErr w:type="spellStart"/>
      <w:r w:rsidRPr="00832BB6">
        <w:rPr>
          <w:rFonts w:ascii="Garamond" w:hAnsi="Garamond"/>
        </w:rPr>
        <w:t>Levée</w:t>
      </w:r>
      <w:proofErr w:type="spellEnd"/>
      <w:r w:rsidRPr="00832BB6">
        <w:rPr>
          <w:rFonts w:ascii="Garamond" w:hAnsi="Garamond"/>
        </w:rPr>
        <w:t xml:space="preserve"> du droit de vote exclusivement </w:t>
      </w:r>
      <w:proofErr w:type="spellStart"/>
      <w:r w:rsidRPr="00832BB6">
        <w:rPr>
          <w:rFonts w:ascii="Garamond" w:hAnsi="Garamond"/>
        </w:rPr>
        <w:t>féminin</w:t>
      </w:r>
      <w:proofErr w:type="spellEnd"/>
      <w:r w:rsidRPr="00832BB6">
        <w:rPr>
          <w:rFonts w:ascii="Garamond" w:hAnsi="Garamond"/>
        </w:rPr>
        <w:t xml:space="preserve"> :</w:t>
      </w:r>
    </w:p>
    <w:p w14:paraId="7D62DFA7" w14:textId="77777777" w:rsidR="000259DA" w:rsidRPr="00832BB6" w:rsidRDefault="00647913" w:rsidP="00647913">
      <w:pPr>
        <w:widowControl w:val="0"/>
        <w:tabs>
          <w:tab w:val="left" w:pos="220"/>
          <w:tab w:val="left" w:pos="720"/>
        </w:tabs>
        <w:autoSpaceDE w:val="0"/>
        <w:autoSpaceDN w:val="0"/>
        <w:adjustRightInd w:val="0"/>
        <w:spacing w:after="266"/>
        <w:ind w:left="720"/>
        <w:rPr>
          <w:rFonts w:ascii="Garamond" w:hAnsi="Garamond"/>
        </w:rPr>
      </w:pPr>
      <w:r w:rsidRPr="00832BB6">
        <w:rPr>
          <w:rFonts w:ascii="Garamond" w:hAnsi="Garamond"/>
        </w:rPr>
        <w:t xml:space="preserve">Le conseil peut, s’il le juge nécessaire, donner un droit de vote selon les modalités qui lui conviennent à l’ensemble des membres de l’AÉSPEP sur des questions particulières. La levée de l’exclusivité du droit de vote accordée aux personnes de sexe et de genre féminin demande le 2/3 des voix et le vote doit se faire en caucus non-mixte </w:t>
      </w:r>
    </w:p>
    <w:sectPr w:rsidR="000259DA" w:rsidRPr="00832BB6" w:rsidSect="005B2CB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3E7550"/>
    <w:multiLevelType w:val="hybridMultilevel"/>
    <w:tmpl w:val="C0E6C78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36AE667E"/>
    <w:multiLevelType w:val="hybridMultilevel"/>
    <w:tmpl w:val="9F4A4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DC66D46"/>
    <w:multiLevelType w:val="hybridMultilevel"/>
    <w:tmpl w:val="BCD02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80"/>
    <w:rsid w:val="000259DA"/>
    <w:rsid w:val="00104380"/>
    <w:rsid w:val="005B2CB9"/>
    <w:rsid w:val="00647913"/>
    <w:rsid w:val="00773B34"/>
    <w:rsid w:val="00832BB6"/>
    <w:rsid w:val="00B7036A"/>
    <w:rsid w:val="00C324F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0FD1F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104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790</Words>
  <Characters>4346</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2016-03-17T02:25:00Z</dcterms:created>
  <dcterms:modified xsi:type="dcterms:W3CDTF">2016-03-19T00:58:00Z</dcterms:modified>
</cp:coreProperties>
</file>