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BB" w:rsidRPr="00BA4DDE" w:rsidRDefault="00A56BBB" w:rsidP="005B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DE">
        <w:rPr>
          <w:rFonts w:ascii="Times New Roman" w:hAnsi="Times New Roman" w:cs="Times New Roman"/>
          <w:b/>
          <w:sz w:val="28"/>
          <w:szCs w:val="28"/>
        </w:rPr>
        <w:t>Attaques meurtrières sur GAZA, invasion imminente par l’armée israélienne</w:t>
      </w:r>
    </w:p>
    <w:p w:rsidR="00BA4DDE" w:rsidRPr="00BA4DDE" w:rsidRDefault="00BA4DDE" w:rsidP="005B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DE" w:rsidRDefault="00122172" w:rsidP="005B0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DDE">
        <w:rPr>
          <w:rFonts w:ascii="Times New Roman" w:hAnsi="Times New Roman" w:cs="Times New Roman"/>
          <w:b/>
          <w:sz w:val="32"/>
          <w:szCs w:val="32"/>
        </w:rPr>
        <w:t>ISRAËL PUNIT LE PEUPLE PALESTINIEN….</w:t>
      </w:r>
    </w:p>
    <w:p w:rsidR="00A67226" w:rsidRPr="00BA4DDE" w:rsidRDefault="00122172" w:rsidP="005B09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DDE">
        <w:rPr>
          <w:rFonts w:ascii="Times New Roman" w:hAnsi="Times New Roman" w:cs="Times New Roman"/>
          <w:b/>
          <w:sz w:val="32"/>
          <w:szCs w:val="32"/>
        </w:rPr>
        <w:t xml:space="preserve">POUR SON  </w:t>
      </w:r>
      <w:r w:rsidR="00BA4DDE">
        <w:rPr>
          <w:rFonts w:ascii="Times New Roman" w:hAnsi="Times New Roman" w:cs="Times New Roman"/>
          <w:b/>
          <w:sz w:val="32"/>
          <w:szCs w:val="32"/>
        </w:rPr>
        <w:t>« </w:t>
      </w:r>
      <w:r w:rsidRPr="00BA4DDE">
        <w:rPr>
          <w:rFonts w:ascii="Times New Roman" w:hAnsi="Times New Roman" w:cs="Times New Roman"/>
          <w:b/>
          <w:sz w:val="32"/>
          <w:szCs w:val="32"/>
        </w:rPr>
        <w:t>REFUS DE DISPARAÎTRE</w:t>
      </w:r>
      <w:r w:rsidR="00BA4DDE">
        <w:rPr>
          <w:rFonts w:ascii="Times New Roman" w:hAnsi="Times New Roman" w:cs="Times New Roman"/>
          <w:b/>
          <w:sz w:val="32"/>
          <w:szCs w:val="32"/>
        </w:rPr>
        <w:t> »</w:t>
      </w:r>
      <w:r w:rsidR="00BA4DDE">
        <w:rPr>
          <w:rStyle w:val="Appelnotedebasdep"/>
          <w:rFonts w:ascii="Times New Roman" w:hAnsi="Times New Roman" w:cs="Times New Roman"/>
          <w:b/>
          <w:sz w:val="32"/>
          <w:szCs w:val="32"/>
        </w:rPr>
        <w:footnoteReference w:id="1"/>
      </w:r>
    </w:p>
    <w:p w:rsidR="00D841E7" w:rsidRPr="00BA4DDE" w:rsidRDefault="00D841E7" w:rsidP="00122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1E7" w:rsidRPr="00D13F1B" w:rsidRDefault="00D841E7" w:rsidP="00122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B">
        <w:rPr>
          <w:rFonts w:ascii="Times New Roman" w:hAnsi="Times New Roman" w:cs="Times New Roman"/>
          <w:b/>
          <w:sz w:val="28"/>
          <w:szCs w:val="28"/>
        </w:rPr>
        <w:t>Notre réponse : intensifier notre solidarité avec le peuple palestinien</w:t>
      </w:r>
    </w:p>
    <w:p w:rsidR="00D841E7" w:rsidRPr="00D13F1B" w:rsidRDefault="00D841E7" w:rsidP="00D841E7">
      <w:pPr>
        <w:rPr>
          <w:rFonts w:ascii="Times New Roman" w:hAnsi="Times New Roman" w:cs="Times New Roman"/>
          <w:b/>
          <w:sz w:val="28"/>
          <w:szCs w:val="28"/>
        </w:rPr>
      </w:pPr>
    </w:p>
    <w:p w:rsidR="005B093B" w:rsidRPr="0054798A" w:rsidRDefault="00D841E7" w:rsidP="00D841E7">
      <w:pPr>
        <w:ind w:left="0" w:firstLine="0"/>
        <w:rPr>
          <w:rFonts w:ascii="Times New Roman" w:hAnsi="Times New Roman" w:cs="Times New Roman"/>
        </w:rPr>
      </w:pPr>
      <w:r w:rsidRPr="00DD3091">
        <w:rPr>
          <w:rFonts w:ascii="Times New Roman" w:hAnsi="Times New Roman" w:cs="Times New Roman"/>
          <w:b/>
          <w:sz w:val="28"/>
          <w:szCs w:val="28"/>
        </w:rPr>
        <w:t>Nous assistons</w:t>
      </w:r>
      <w:r w:rsidRPr="00D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98A">
        <w:rPr>
          <w:rFonts w:ascii="Times New Roman" w:hAnsi="Times New Roman" w:cs="Times New Roman"/>
        </w:rPr>
        <w:t>en direct à un autre massacre de la population de Gaza</w:t>
      </w:r>
      <w:r w:rsidR="00D13F1B" w:rsidRPr="0054798A">
        <w:rPr>
          <w:rFonts w:ascii="Times New Roman" w:hAnsi="Times New Roman" w:cs="Times New Roman"/>
        </w:rPr>
        <w:t xml:space="preserve"> par l’armée israélienne comme si le gouvernement Netanyahou rejouait le même scénario de son  </w:t>
      </w:r>
      <w:r w:rsidR="00A1323E" w:rsidRPr="0054798A">
        <w:rPr>
          <w:rFonts w:ascii="Times New Roman" w:hAnsi="Times New Roman" w:cs="Times New Roman"/>
        </w:rPr>
        <w:t xml:space="preserve">même </w:t>
      </w:r>
      <w:r w:rsidR="00D13F1B" w:rsidRPr="0054798A">
        <w:rPr>
          <w:rFonts w:ascii="Times New Roman" w:hAnsi="Times New Roman" w:cs="Times New Roman"/>
        </w:rPr>
        <w:t xml:space="preserve">mauvais film. </w:t>
      </w:r>
      <w:r w:rsidRPr="0054798A">
        <w:rPr>
          <w:rFonts w:ascii="Times New Roman" w:hAnsi="Times New Roman" w:cs="Times New Roman"/>
        </w:rPr>
        <w:t xml:space="preserve"> </w:t>
      </w:r>
      <w:r w:rsidR="00A1323E" w:rsidRPr="0054798A">
        <w:rPr>
          <w:rFonts w:ascii="Times New Roman" w:hAnsi="Times New Roman" w:cs="Times New Roman"/>
          <w:b/>
        </w:rPr>
        <w:t>2009 :</w:t>
      </w:r>
      <w:r w:rsidR="00A1323E" w:rsidRPr="0054798A">
        <w:rPr>
          <w:rFonts w:ascii="Times New Roman" w:hAnsi="Times New Roman" w:cs="Times New Roman"/>
        </w:rPr>
        <w:t xml:space="preserve"> l</w:t>
      </w:r>
      <w:r w:rsidR="00D13F1B" w:rsidRPr="0054798A">
        <w:rPr>
          <w:rFonts w:ascii="Times New Roman" w:hAnsi="Times New Roman" w:cs="Times New Roman"/>
        </w:rPr>
        <w:t xml:space="preserve">’opération « Plomb durci » avait fait près de 2000 morts et </w:t>
      </w:r>
      <w:r w:rsidR="005B093B" w:rsidRPr="0054798A">
        <w:rPr>
          <w:rFonts w:ascii="Times New Roman" w:hAnsi="Times New Roman" w:cs="Times New Roman"/>
        </w:rPr>
        <w:t xml:space="preserve">des milliers de blessés sans compter la destruction de la presque totalité des infrastructures essentielles (hôpitaux, écoles, eau, électricité, routes, etc.)  </w:t>
      </w:r>
      <w:r w:rsidR="00D13F1B" w:rsidRPr="0054798A">
        <w:rPr>
          <w:rFonts w:ascii="Times New Roman" w:hAnsi="Times New Roman" w:cs="Times New Roman"/>
        </w:rPr>
        <w:t xml:space="preserve"> </w:t>
      </w:r>
      <w:r w:rsidR="00A1323E" w:rsidRPr="0054798A">
        <w:rPr>
          <w:rFonts w:ascii="Times New Roman" w:hAnsi="Times New Roman" w:cs="Times New Roman"/>
          <w:b/>
        </w:rPr>
        <w:t>Juillet 2014</w:t>
      </w:r>
      <w:r w:rsidR="00A1323E" w:rsidRPr="0054798A">
        <w:rPr>
          <w:rFonts w:ascii="Times New Roman" w:hAnsi="Times New Roman" w:cs="Times New Roman"/>
        </w:rPr>
        <w:t xml:space="preserve"> : mêmes attaques aériennes et même menace imminente d’invasion terrestre </w:t>
      </w:r>
      <w:r w:rsidRPr="0054798A">
        <w:rPr>
          <w:rFonts w:ascii="Times New Roman" w:hAnsi="Times New Roman" w:cs="Times New Roman"/>
        </w:rPr>
        <w:t xml:space="preserve">Le nombre de tirs israéliens augmente d’heure en heure et le nombre de victimes palestiniennes (parmi lesquelles </w:t>
      </w:r>
      <w:r w:rsidR="00D13F1B" w:rsidRPr="0054798A">
        <w:rPr>
          <w:rFonts w:ascii="Times New Roman" w:hAnsi="Times New Roman" w:cs="Times New Roman"/>
        </w:rPr>
        <w:t xml:space="preserve">la plupart sont des civils et </w:t>
      </w:r>
      <w:r w:rsidRPr="0054798A">
        <w:rPr>
          <w:rFonts w:ascii="Times New Roman" w:hAnsi="Times New Roman" w:cs="Times New Roman"/>
        </w:rPr>
        <w:t>beaucoup d</w:t>
      </w:r>
      <w:r w:rsidR="005B093B" w:rsidRPr="0054798A">
        <w:rPr>
          <w:rFonts w:ascii="Times New Roman" w:hAnsi="Times New Roman" w:cs="Times New Roman"/>
        </w:rPr>
        <w:t xml:space="preserve">’enfants) ne cesse d’augmenter. Du côté israélien, si on vit dans un certain climat de peur, on ne compte aucun mort et on bénéficie de puissants moyens de protection. </w:t>
      </w:r>
    </w:p>
    <w:p w:rsidR="005B093B" w:rsidRDefault="005B093B" w:rsidP="00D841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6BBB" w:rsidRPr="0054798A" w:rsidRDefault="00A56BBB" w:rsidP="00D841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Nous constatons</w:t>
      </w:r>
      <w:r w:rsidR="005F3F40">
        <w:rPr>
          <w:rFonts w:ascii="Times New Roman" w:hAnsi="Times New Roman" w:cs="Times New Roman"/>
          <w:b/>
          <w:sz w:val="28"/>
          <w:szCs w:val="28"/>
        </w:rPr>
        <w:t xml:space="preserve"> avec indignation, colère, tristesse</w:t>
      </w:r>
      <w:r w:rsidR="00DD3091">
        <w:rPr>
          <w:rFonts w:ascii="Times New Roman" w:hAnsi="Times New Roman" w:cs="Times New Roman"/>
          <w:sz w:val="28"/>
          <w:szCs w:val="28"/>
        </w:rPr>
        <w:t xml:space="preserve"> </w:t>
      </w:r>
      <w:r w:rsidRPr="0054798A">
        <w:rPr>
          <w:rFonts w:ascii="Times New Roman" w:hAnsi="Times New Roman" w:cs="Times New Roman"/>
        </w:rPr>
        <w:t>l</w:t>
      </w:r>
      <w:r w:rsidR="008642A5" w:rsidRPr="0054798A">
        <w:rPr>
          <w:rFonts w:ascii="Times New Roman" w:hAnsi="Times New Roman" w:cs="Times New Roman"/>
        </w:rPr>
        <w:t>’ampleur démesurée des assauts militaires, l</w:t>
      </w:r>
      <w:r w:rsidR="00D841E7" w:rsidRPr="0054798A">
        <w:rPr>
          <w:rFonts w:ascii="Times New Roman" w:hAnsi="Times New Roman" w:cs="Times New Roman"/>
        </w:rPr>
        <w:t>a brutalité planifiée, la violence gratuite et aveugle</w:t>
      </w:r>
      <w:r w:rsidR="00D57445">
        <w:rPr>
          <w:rFonts w:ascii="Times New Roman" w:hAnsi="Times New Roman" w:cs="Times New Roman"/>
        </w:rPr>
        <w:t xml:space="preserve"> envers des civils</w:t>
      </w:r>
      <w:r w:rsidR="008642A5" w:rsidRPr="0054798A">
        <w:rPr>
          <w:rFonts w:ascii="Times New Roman" w:hAnsi="Times New Roman" w:cs="Times New Roman"/>
        </w:rPr>
        <w:t xml:space="preserve">, </w:t>
      </w:r>
      <w:r w:rsidR="00A1323E" w:rsidRPr="0054798A">
        <w:rPr>
          <w:rFonts w:ascii="Times New Roman" w:hAnsi="Times New Roman" w:cs="Times New Roman"/>
        </w:rPr>
        <w:t xml:space="preserve">l’asymétrie totale des forces </w:t>
      </w:r>
      <w:r w:rsidR="005B093B" w:rsidRPr="0054798A">
        <w:rPr>
          <w:rFonts w:ascii="Times New Roman" w:hAnsi="Times New Roman" w:cs="Times New Roman"/>
        </w:rPr>
        <w:t xml:space="preserve">et des ressources </w:t>
      </w:r>
      <w:r w:rsidR="00A1323E" w:rsidRPr="0054798A">
        <w:rPr>
          <w:rFonts w:ascii="Times New Roman" w:hAnsi="Times New Roman" w:cs="Times New Roman"/>
        </w:rPr>
        <w:t>en présence</w:t>
      </w:r>
      <w:r w:rsidR="008642A5" w:rsidRPr="0054798A">
        <w:rPr>
          <w:rFonts w:ascii="Times New Roman" w:hAnsi="Times New Roman" w:cs="Times New Roman"/>
        </w:rPr>
        <w:t>, la puissance de la machine de propagande israélienne au service du « droit absolu et inconditionnel de se défendre » fut-ce au prix de la destru</w:t>
      </w:r>
      <w:r w:rsidRPr="0054798A">
        <w:rPr>
          <w:rFonts w:ascii="Times New Roman" w:hAnsi="Times New Roman" w:cs="Times New Roman"/>
        </w:rPr>
        <w:t>ction de la population de Gaza, argument lâche repris en chœur par la « communauté internationale », Canada en tête.</w:t>
      </w:r>
    </w:p>
    <w:p w:rsidR="00A56BBB" w:rsidRDefault="00A56BBB" w:rsidP="00D841E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3F40" w:rsidRDefault="00A56BBB" w:rsidP="00D841E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Nous comprenons </w:t>
      </w:r>
      <w:r w:rsidRPr="0054798A">
        <w:rPr>
          <w:rFonts w:ascii="Times New Roman" w:hAnsi="Times New Roman" w:cs="Times New Roman"/>
        </w:rPr>
        <w:t xml:space="preserve">que </w:t>
      </w:r>
      <w:r w:rsidR="008642A5" w:rsidRPr="0054798A">
        <w:rPr>
          <w:rFonts w:ascii="Times New Roman" w:hAnsi="Times New Roman" w:cs="Times New Roman"/>
        </w:rPr>
        <w:t xml:space="preserve">tout cela </w:t>
      </w:r>
      <w:r w:rsidR="00DD3091" w:rsidRPr="0054798A">
        <w:rPr>
          <w:rFonts w:ascii="Times New Roman" w:hAnsi="Times New Roman" w:cs="Times New Roman"/>
        </w:rPr>
        <w:t>n’est pas dû aux seuls tirs de roquettes du Hamas</w:t>
      </w:r>
      <w:r w:rsidR="00481437" w:rsidRPr="0054798A">
        <w:rPr>
          <w:rFonts w:ascii="Times New Roman" w:hAnsi="Times New Roman" w:cs="Times New Roman"/>
        </w:rPr>
        <w:t xml:space="preserve"> (inacceptables car pouvant atteindre des civils mais dérisoires et inefficaces face </w:t>
      </w:r>
      <w:r w:rsidR="0054798A" w:rsidRPr="0054798A">
        <w:rPr>
          <w:rFonts w:ascii="Times New Roman" w:hAnsi="Times New Roman" w:cs="Times New Roman"/>
        </w:rPr>
        <w:t>à l’une des plus puissantes armées</w:t>
      </w:r>
      <w:r w:rsidR="00481437" w:rsidRPr="0054798A">
        <w:rPr>
          <w:rFonts w:ascii="Times New Roman" w:hAnsi="Times New Roman" w:cs="Times New Roman"/>
        </w:rPr>
        <w:t xml:space="preserve"> du monde</w:t>
      </w:r>
      <w:r w:rsidR="0054798A" w:rsidRPr="0054798A">
        <w:rPr>
          <w:rFonts w:ascii="Times New Roman" w:hAnsi="Times New Roman" w:cs="Times New Roman"/>
        </w:rPr>
        <w:t>, possédant l’arme nucléaire</w:t>
      </w:r>
      <w:r w:rsidR="00C040AF" w:rsidRPr="0054798A">
        <w:rPr>
          <w:rFonts w:ascii="Times New Roman" w:hAnsi="Times New Roman" w:cs="Times New Roman"/>
        </w:rPr>
        <w:t xml:space="preserve"> et ne menaçant </w:t>
      </w:r>
      <w:r w:rsidR="0054798A" w:rsidRPr="0054798A">
        <w:rPr>
          <w:rFonts w:ascii="Times New Roman" w:hAnsi="Times New Roman" w:cs="Times New Roman"/>
        </w:rPr>
        <w:t xml:space="preserve">donc </w:t>
      </w:r>
      <w:r w:rsidR="00C040AF" w:rsidRPr="0054798A">
        <w:rPr>
          <w:rFonts w:ascii="Times New Roman" w:hAnsi="Times New Roman" w:cs="Times New Roman"/>
        </w:rPr>
        <w:t>aucunement la sécurité d’Israël</w:t>
      </w:r>
      <w:r w:rsidR="00481437" w:rsidRPr="0054798A">
        <w:rPr>
          <w:rFonts w:ascii="Times New Roman" w:hAnsi="Times New Roman" w:cs="Times New Roman"/>
        </w:rPr>
        <w:t>)</w:t>
      </w:r>
      <w:r w:rsidR="00DD3091" w:rsidRPr="0054798A">
        <w:rPr>
          <w:rFonts w:ascii="Times New Roman" w:hAnsi="Times New Roman" w:cs="Times New Roman"/>
        </w:rPr>
        <w:t xml:space="preserve">, </w:t>
      </w:r>
      <w:r w:rsidRPr="0054798A">
        <w:rPr>
          <w:rFonts w:ascii="Times New Roman" w:hAnsi="Times New Roman" w:cs="Times New Roman"/>
        </w:rPr>
        <w:t>au seul rapprochement des forces politiques palestiniennes pour reconstruire leur unité (rapprochement refusé par Israël)</w:t>
      </w:r>
      <w:r w:rsidR="00BA4DDE" w:rsidRPr="0054798A">
        <w:rPr>
          <w:rFonts w:ascii="Times New Roman" w:hAnsi="Times New Roman" w:cs="Times New Roman"/>
        </w:rPr>
        <w:t>, à la seule présence « d’éléments terroristes » en territoires pale</w:t>
      </w:r>
      <w:r w:rsidR="005F3F40">
        <w:rPr>
          <w:rFonts w:ascii="Times New Roman" w:hAnsi="Times New Roman" w:cs="Times New Roman"/>
        </w:rPr>
        <w:t>stiniens (pour Israël tous les P</w:t>
      </w:r>
      <w:r w:rsidR="00BA4DDE" w:rsidRPr="0054798A">
        <w:rPr>
          <w:rFonts w:ascii="Times New Roman" w:hAnsi="Times New Roman" w:cs="Times New Roman"/>
        </w:rPr>
        <w:t>alestiniens y compris le</w:t>
      </w:r>
      <w:r w:rsidR="007345AD" w:rsidRPr="0054798A">
        <w:rPr>
          <w:rFonts w:ascii="Times New Roman" w:hAnsi="Times New Roman" w:cs="Times New Roman"/>
        </w:rPr>
        <w:t xml:space="preserve">s enfants sont des terroristes), à la seule « mauvaise volonté » des Palestiniens </w:t>
      </w:r>
      <w:proofErr w:type="spellStart"/>
      <w:r w:rsidR="005F3F40">
        <w:rPr>
          <w:rFonts w:ascii="Times New Roman" w:hAnsi="Times New Roman" w:cs="Times New Roman"/>
        </w:rPr>
        <w:t>soit-disant</w:t>
      </w:r>
      <w:proofErr w:type="spellEnd"/>
      <w:r w:rsidR="005F3F40">
        <w:rPr>
          <w:rFonts w:ascii="Times New Roman" w:hAnsi="Times New Roman" w:cs="Times New Roman"/>
        </w:rPr>
        <w:t xml:space="preserve"> </w:t>
      </w:r>
      <w:r w:rsidR="007345AD" w:rsidRPr="0054798A">
        <w:rPr>
          <w:rFonts w:ascii="Times New Roman" w:hAnsi="Times New Roman" w:cs="Times New Roman"/>
        </w:rPr>
        <w:t>hostiles aux compromis (ils ont déjà tout perdu..</w:t>
      </w:r>
      <w:r w:rsidR="005F3F40">
        <w:rPr>
          <w:rFonts w:ascii="Times New Roman" w:hAnsi="Times New Roman" w:cs="Times New Roman"/>
        </w:rPr>
        <w:t xml:space="preserve"> </w:t>
      </w:r>
      <w:r w:rsidR="007345AD" w:rsidRPr="0054798A">
        <w:rPr>
          <w:rFonts w:ascii="Times New Roman" w:hAnsi="Times New Roman" w:cs="Times New Roman"/>
        </w:rPr>
        <w:t>quels autres « compromis » pourraient-ils faire ?)</w:t>
      </w:r>
      <w:r w:rsidR="00BA4DDE" w:rsidRPr="0054798A">
        <w:rPr>
          <w:rFonts w:ascii="Times New Roman" w:hAnsi="Times New Roman" w:cs="Times New Roman"/>
        </w:rPr>
        <w:t xml:space="preserve">  </w:t>
      </w:r>
      <w:r w:rsidR="005F3F40">
        <w:rPr>
          <w:rFonts w:ascii="Times New Roman" w:hAnsi="Times New Roman" w:cs="Times New Roman"/>
        </w:rPr>
        <w:t>Tout cela</w:t>
      </w:r>
      <w:r w:rsidR="007345AD" w:rsidRPr="0054798A">
        <w:rPr>
          <w:rFonts w:ascii="Times New Roman" w:hAnsi="Times New Roman" w:cs="Times New Roman"/>
        </w:rPr>
        <w:t xml:space="preserve"> </w:t>
      </w:r>
      <w:r w:rsidR="008642A5" w:rsidRPr="0054798A">
        <w:rPr>
          <w:rFonts w:ascii="Times New Roman" w:hAnsi="Times New Roman" w:cs="Times New Roman"/>
        </w:rPr>
        <w:t>fait partie du projet initial d’Israël</w:t>
      </w:r>
      <w:r w:rsidR="00D13F1B" w:rsidRPr="0054798A">
        <w:rPr>
          <w:rFonts w:ascii="Times New Roman" w:hAnsi="Times New Roman" w:cs="Times New Roman"/>
        </w:rPr>
        <w:t xml:space="preserve"> </w:t>
      </w:r>
      <w:r w:rsidR="008642A5" w:rsidRPr="0054798A">
        <w:rPr>
          <w:rFonts w:ascii="Times New Roman" w:hAnsi="Times New Roman" w:cs="Times New Roman"/>
        </w:rPr>
        <w:t>et qui se déploie sur plusieurs décennies</w:t>
      </w:r>
      <w:r w:rsidR="00DD3091" w:rsidRPr="0054798A">
        <w:rPr>
          <w:rFonts w:ascii="Times New Roman" w:hAnsi="Times New Roman" w:cs="Times New Roman"/>
        </w:rPr>
        <w:t xml:space="preserve"> déjà</w:t>
      </w:r>
      <w:r w:rsidR="008642A5" w:rsidRPr="0054798A">
        <w:rPr>
          <w:rFonts w:ascii="Times New Roman" w:hAnsi="Times New Roman" w:cs="Times New Roman"/>
        </w:rPr>
        <w:t> </w:t>
      </w:r>
      <w:r w:rsidR="008642A5" w:rsidRPr="00D57445">
        <w:rPr>
          <w:rFonts w:ascii="Times New Roman" w:hAnsi="Times New Roman" w:cs="Times New Roman"/>
          <w:sz w:val="24"/>
          <w:szCs w:val="24"/>
        </w:rPr>
        <w:t xml:space="preserve">: </w:t>
      </w:r>
      <w:r w:rsidR="008642A5" w:rsidRPr="00D57445">
        <w:rPr>
          <w:rFonts w:ascii="Times New Roman" w:hAnsi="Times New Roman" w:cs="Times New Roman"/>
          <w:b/>
          <w:sz w:val="24"/>
          <w:szCs w:val="24"/>
        </w:rPr>
        <w:t>la dépossession et la négation à l’existence du peuple palestinien.</w:t>
      </w:r>
      <w:r w:rsidR="0054798A" w:rsidRPr="0054798A">
        <w:rPr>
          <w:rFonts w:ascii="Times New Roman" w:hAnsi="Times New Roman" w:cs="Times New Roman"/>
          <w:b/>
        </w:rPr>
        <w:t xml:space="preserve"> </w:t>
      </w:r>
      <w:r w:rsidR="0054798A" w:rsidRPr="0054798A">
        <w:rPr>
          <w:rFonts w:ascii="Times New Roman" w:hAnsi="Times New Roman" w:cs="Times New Roman"/>
        </w:rPr>
        <w:t>La carte suivante parle d’elle-même….</w:t>
      </w:r>
    </w:p>
    <w:p w:rsidR="005F3F40" w:rsidRDefault="005F3F40" w:rsidP="00D841E7">
      <w:pPr>
        <w:ind w:left="0" w:firstLine="0"/>
        <w:rPr>
          <w:rFonts w:ascii="Times New Roman" w:hAnsi="Times New Roman" w:cs="Times New Roman"/>
        </w:rPr>
      </w:pPr>
    </w:p>
    <w:p w:rsidR="005F3F40" w:rsidRPr="005F3F40" w:rsidRDefault="005F3F40" w:rsidP="00D841E7">
      <w:pPr>
        <w:ind w:left="0" w:firstLine="0"/>
        <w:rPr>
          <w:rFonts w:ascii="Times New Roman" w:hAnsi="Times New Roman" w:cs="Times New Roman"/>
        </w:rPr>
      </w:pPr>
    </w:p>
    <w:p w:rsidR="00D841E7" w:rsidRPr="00D13F1B" w:rsidRDefault="005F3F40" w:rsidP="00122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>
            <wp:extent cx="6397466" cy="2872740"/>
            <wp:effectExtent l="19050" t="0" r="3334" b="0"/>
            <wp:docPr id="3" name="Image 2" descr="C:\DOCUMENTS\Palestine-Israël\CJPP\Cartes Palestine\Carte destruction P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\Palestine-Israël\CJPP\Cartes Palestine\Carte destruction P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66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E7" w:rsidRPr="00200230" w:rsidRDefault="00D57445" w:rsidP="00CE33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nakba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45">
        <w:rPr>
          <w:rFonts w:ascii="Times New Roman" w:hAnsi="Times New Roman" w:cs="Times New Roman"/>
          <w:b/>
          <w:sz w:val="28"/>
          <w:szCs w:val="28"/>
        </w:rPr>
        <w:t>permanente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445">
        <w:rPr>
          <w:rFonts w:ascii="Times New Roman" w:hAnsi="Times New Roman" w:cs="Times New Roman"/>
          <w:sz w:val="20"/>
          <w:szCs w:val="20"/>
        </w:rPr>
        <w:t>(catastrophe en arabe)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230">
        <w:rPr>
          <w:rFonts w:ascii="Times New Roman" w:hAnsi="Times New Roman" w:cs="Times New Roman"/>
          <w:sz w:val="24"/>
          <w:szCs w:val="24"/>
        </w:rPr>
        <w:t xml:space="preserve">Les causes profondes de l’horreur actuelle </w:t>
      </w:r>
      <w:r w:rsidR="00CE33A3" w:rsidRPr="00200230">
        <w:rPr>
          <w:rFonts w:ascii="Times New Roman" w:hAnsi="Times New Roman" w:cs="Times New Roman"/>
          <w:sz w:val="24"/>
          <w:szCs w:val="24"/>
        </w:rPr>
        <w:t xml:space="preserve">sont </w:t>
      </w:r>
      <w:r w:rsidRPr="00200230">
        <w:rPr>
          <w:rFonts w:ascii="Times New Roman" w:hAnsi="Times New Roman" w:cs="Times New Roman"/>
          <w:sz w:val="24"/>
          <w:szCs w:val="24"/>
        </w:rPr>
        <w:t xml:space="preserve"> tout entier contenu</w:t>
      </w:r>
      <w:r w:rsidR="00CE33A3" w:rsidRPr="00200230">
        <w:rPr>
          <w:rFonts w:ascii="Times New Roman" w:hAnsi="Times New Roman" w:cs="Times New Roman"/>
          <w:sz w:val="24"/>
          <w:szCs w:val="24"/>
        </w:rPr>
        <w:t>es</w:t>
      </w:r>
      <w:r w:rsidRPr="00200230">
        <w:rPr>
          <w:rFonts w:ascii="Times New Roman" w:hAnsi="Times New Roman" w:cs="Times New Roman"/>
          <w:sz w:val="24"/>
          <w:szCs w:val="24"/>
        </w:rPr>
        <w:t xml:space="preserve"> dans </w:t>
      </w:r>
      <w:r w:rsidR="00CE33A3" w:rsidRPr="00200230">
        <w:rPr>
          <w:rFonts w:ascii="Times New Roman" w:hAnsi="Times New Roman" w:cs="Times New Roman"/>
          <w:sz w:val="24"/>
          <w:szCs w:val="24"/>
        </w:rPr>
        <w:t xml:space="preserve">les </w:t>
      </w:r>
      <w:r w:rsidRPr="00200230">
        <w:rPr>
          <w:rFonts w:ascii="Times New Roman" w:hAnsi="Times New Roman" w:cs="Times New Roman"/>
          <w:sz w:val="24"/>
          <w:szCs w:val="24"/>
        </w:rPr>
        <w:t xml:space="preserve">violations systématiques et </w:t>
      </w:r>
      <w:r w:rsidR="00CE33A3" w:rsidRPr="00200230">
        <w:rPr>
          <w:rFonts w:ascii="Times New Roman" w:hAnsi="Times New Roman" w:cs="Times New Roman"/>
          <w:sz w:val="24"/>
          <w:szCs w:val="24"/>
        </w:rPr>
        <w:t>permanentes par Israël</w:t>
      </w:r>
      <w:r w:rsidRPr="00200230">
        <w:rPr>
          <w:rFonts w:ascii="Times New Roman" w:hAnsi="Times New Roman" w:cs="Times New Roman"/>
          <w:sz w:val="24"/>
          <w:szCs w:val="24"/>
        </w:rPr>
        <w:t xml:space="preserve"> du droit international pourtant limpide sur ce conflit</w:t>
      </w:r>
      <w:r w:rsidR="00CE33A3" w:rsidRPr="00200230">
        <w:rPr>
          <w:rFonts w:ascii="Times New Roman" w:hAnsi="Times New Roman" w:cs="Times New Roman"/>
          <w:sz w:val="24"/>
          <w:szCs w:val="24"/>
        </w:rPr>
        <w:t> :</w:t>
      </w:r>
    </w:p>
    <w:p w:rsidR="00CE33A3" w:rsidRPr="00200230" w:rsidRDefault="00CE33A3" w:rsidP="00CE33A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33A3" w:rsidRPr="003E7BE6" w:rsidRDefault="00200230" w:rsidP="00200230">
      <w:pPr>
        <w:pStyle w:val="Paragraphedeliste"/>
        <w:autoSpaceDE w:val="0"/>
        <w:autoSpaceDN w:val="0"/>
        <w:adjustRightInd w:val="0"/>
        <w:ind w:left="1134" w:right="1008" w:hanging="283"/>
        <w:rPr>
          <w:rFonts w:ascii="Times New Roman" w:hAnsi="Times New Roman" w:cs="Times New Roman"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 xml:space="preserve">• </w:t>
      </w:r>
      <w:r w:rsidR="00CE33A3" w:rsidRPr="003E7BE6">
        <w:rPr>
          <w:rFonts w:ascii="Times New Roman" w:hAnsi="Times New Roman" w:cs="Times New Roman"/>
          <w:color w:val="000000"/>
        </w:rPr>
        <w:t xml:space="preserve">le </w:t>
      </w:r>
      <w:r w:rsidR="00CE33A3" w:rsidRPr="003E7BE6">
        <w:rPr>
          <w:rFonts w:ascii="Times New Roman" w:hAnsi="Times New Roman" w:cs="Times New Roman"/>
          <w:b/>
          <w:bCs/>
          <w:color w:val="000000"/>
        </w:rPr>
        <w:t xml:space="preserve">droit de retour </w:t>
      </w:r>
      <w:r w:rsidR="00CE33A3" w:rsidRPr="003E7BE6">
        <w:rPr>
          <w:rFonts w:ascii="Times New Roman" w:hAnsi="Times New Roman" w:cs="Times New Roman"/>
          <w:color w:val="000000"/>
        </w:rPr>
        <w:t xml:space="preserve">et/ou de compensation pour les réfugiés palestiniens exclus </w:t>
      </w:r>
      <w:r w:rsidRPr="003E7BE6">
        <w:rPr>
          <w:rFonts w:ascii="Times New Roman" w:hAnsi="Times New Roman" w:cs="Times New Roman"/>
          <w:color w:val="000000"/>
        </w:rPr>
        <w:t xml:space="preserve">de leur </w:t>
      </w:r>
      <w:r w:rsidR="00CE33A3" w:rsidRPr="003E7BE6">
        <w:rPr>
          <w:rFonts w:ascii="Times New Roman" w:hAnsi="Times New Roman" w:cs="Times New Roman"/>
          <w:color w:val="000000"/>
        </w:rPr>
        <w:t xml:space="preserve">maison et terres suite à la création de l’État d’Israël en 1948    (Résolution 194) </w:t>
      </w:r>
    </w:p>
    <w:p w:rsidR="00CE33A3" w:rsidRPr="003E7BE6" w:rsidRDefault="00200230" w:rsidP="00200230">
      <w:pPr>
        <w:pStyle w:val="Paragraphedeliste"/>
        <w:autoSpaceDE w:val="0"/>
        <w:autoSpaceDN w:val="0"/>
        <w:adjustRightInd w:val="0"/>
        <w:ind w:left="1134" w:right="1008" w:hanging="283"/>
        <w:rPr>
          <w:rFonts w:ascii="Times New Roman" w:hAnsi="Times New Roman" w:cs="Times New Roman"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 xml:space="preserve">•  </w:t>
      </w:r>
      <w:r w:rsidR="00CE33A3" w:rsidRPr="003E7BE6">
        <w:rPr>
          <w:rFonts w:ascii="Times New Roman" w:hAnsi="Times New Roman" w:cs="Times New Roman"/>
          <w:color w:val="000000"/>
        </w:rPr>
        <w:t xml:space="preserve">la </w:t>
      </w:r>
      <w:r w:rsidR="00CE33A3" w:rsidRPr="003E7BE6">
        <w:rPr>
          <w:rFonts w:ascii="Times New Roman" w:hAnsi="Times New Roman" w:cs="Times New Roman"/>
          <w:b/>
          <w:bCs/>
          <w:color w:val="000000"/>
        </w:rPr>
        <w:t xml:space="preserve">fin de l’occupation qui dure depuis 1967 </w:t>
      </w:r>
      <w:r w:rsidR="00CE33A3" w:rsidRPr="003E7BE6">
        <w:rPr>
          <w:rFonts w:ascii="Times New Roman" w:hAnsi="Times New Roman" w:cs="Times New Roman"/>
          <w:color w:val="000000"/>
        </w:rPr>
        <w:t xml:space="preserve">(Résolution 242) </w:t>
      </w:r>
    </w:p>
    <w:p w:rsidR="00CE33A3" w:rsidRPr="003E7BE6" w:rsidRDefault="00200230" w:rsidP="00200230">
      <w:pPr>
        <w:pStyle w:val="Paragraphedeliste"/>
        <w:autoSpaceDE w:val="0"/>
        <w:autoSpaceDN w:val="0"/>
        <w:adjustRightInd w:val="0"/>
        <w:ind w:left="1134" w:right="1008" w:hanging="283"/>
        <w:rPr>
          <w:rFonts w:ascii="Times New Roman" w:hAnsi="Times New Roman" w:cs="Times New Roman"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>• l</w:t>
      </w:r>
      <w:r w:rsidR="00CE33A3" w:rsidRPr="003E7BE6">
        <w:rPr>
          <w:rFonts w:ascii="Times New Roman" w:hAnsi="Times New Roman" w:cs="Times New Roman"/>
          <w:color w:val="000000"/>
        </w:rPr>
        <w:t>a</w:t>
      </w:r>
      <w:r w:rsidR="00CE33A3" w:rsidRPr="003E7BE6">
        <w:rPr>
          <w:rFonts w:ascii="Times New Roman" w:hAnsi="Times New Roman" w:cs="Times New Roman"/>
          <w:b/>
          <w:color w:val="000000"/>
        </w:rPr>
        <w:t xml:space="preserve"> fin de la colonisation</w:t>
      </w:r>
      <w:r w:rsidRPr="003E7BE6">
        <w:rPr>
          <w:rFonts w:ascii="Times New Roman" w:hAnsi="Times New Roman" w:cs="Times New Roman"/>
          <w:b/>
          <w:color w:val="000000"/>
        </w:rPr>
        <w:t xml:space="preserve"> qui ne cesse de s’intensifier</w:t>
      </w:r>
      <w:r w:rsidR="00CE33A3" w:rsidRPr="003E7BE6">
        <w:rPr>
          <w:rFonts w:ascii="Times New Roman" w:hAnsi="Times New Roman" w:cs="Times New Roman"/>
          <w:color w:val="000000"/>
        </w:rPr>
        <w:t xml:space="preserve"> (art 49 de </w:t>
      </w:r>
      <w:proofErr w:type="gramStart"/>
      <w:r w:rsidR="00CE33A3" w:rsidRPr="003E7BE6">
        <w:rPr>
          <w:rFonts w:ascii="Times New Roman" w:hAnsi="Times New Roman" w:cs="Times New Roman"/>
          <w:color w:val="000000"/>
        </w:rPr>
        <w:t>la IVe</w:t>
      </w:r>
      <w:proofErr w:type="gramEnd"/>
      <w:r w:rsidR="00CE33A3" w:rsidRPr="003E7BE6">
        <w:rPr>
          <w:rFonts w:ascii="Times New Roman" w:hAnsi="Times New Roman" w:cs="Times New Roman"/>
          <w:color w:val="000000"/>
        </w:rPr>
        <w:t xml:space="preserve"> Convention de Genève) </w:t>
      </w:r>
    </w:p>
    <w:p w:rsidR="00CE33A3" w:rsidRPr="003E7BE6" w:rsidRDefault="00CE33A3" w:rsidP="00200230">
      <w:pPr>
        <w:pStyle w:val="Paragraphedeliste"/>
        <w:autoSpaceDE w:val="0"/>
        <w:autoSpaceDN w:val="0"/>
        <w:adjustRightInd w:val="0"/>
        <w:ind w:left="1134" w:right="1008" w:hanging="283"/>
        <w:rPr>
          <w:rFonts w:ascii="Times New Roman" w:hAnsi="Times New Roman" w:cs="Times New Roman"/>
          <w:bCs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 xml:space="preserve">•  la </w:t>
      </w:r>
      <w:r w:rsidRPr="003E7BE6">
        <w:rPr>
          <w:rFonts w:ascii="Times New Roman" w:hAnsi="Times New Roman" w:cs="Times New Roman"/>
          <w:b/>
          <w:bCs/>
          <w:color w:val="000000"/>
        </w:rPr>
        <w:t xml:space="preserve">fin du blocus </w:t>
      </w:r>
      <w:r w:rsidRPr="003E7BE6">
        <w:rPr>
          <w:rFonts w:ascii="Times New Roman" w:hAnsi="Times New Roman" w:cs="Times New Roman"/>
          <w:color w:val="000000"/>
        </w:rPr>
        <w:t xml:space="preserve">de </w:t>
      </w:r>
      <w:r w:rsidRPr="003E7BE6">
        <w:rPr>
          <w:rFonts w:ascii="Times New Roman" w:hAnsi="Times New Roman" w:cs="Times New Roman"/>
          <w:b/>
          <w:bCs/>
          <w:color w:val="000000"/>
        </w:rPr>
        <w:t xml:space="preserve">Gaza </w:t>
      </w:r>
      <w:r w:rsidRPr="003E7BE6">
        <w:rPr>
          <w:rFonts w:ascii="Times New Roman" w:hAnsi="Times New Roman" w:cs="Times New Roman"/>
          <w:bCs/>
          <w:color w:val="000000"/>
        </w:rPr>
        <w:t>(Déclaration univ</w:t>
      </w:r>
      <w:r w:rsidR="00200230" w:rsidRPr="003E7BE6">
        <w:rPr>
          <w:rFonts w:ascii="Times New Roman" w:hAnsi="Times New Roman" w:cs="Times New Roman"/>
          <w:bCs/>
          <w:color w:val="000000"/>
        </w:rPr>
        <w:t>erselle des droits de l’homme, Conventions de Genève, P</w:t>
      </w:r>
      <w:r w:rsidRPr="003E7BE6">
        <w:rPr>
          <w:rFonts w:ascii="Times New Roman" w:hAnsi="Times New Roman" w:cs="Times New Roman"/>
          <w:bCs/>
          <w:color w:val="000000"/>
        </w:rPr>
        <w:t xml:space="preserve">actes internationaux relatifs aux droits civils et politiques et aux droits économiques, sociaux et culturels) </w:t>
      </w:r>
    </w:p>
    <w:p w:rsidR="00200230" w:rsidRPr="003E7BE6" w:rsidRDefault="00CE33A3" w:rsidP="00CE33A3">
      <w:pPr>
        <w:pStyle w:val="Paragraphedeliste"/>
        <w:autoSpaceDE w:val="0"/>
        <w:autoSpaceDN w:val="0"/>
        <w:adjustRightInd w:val="0"/>
        <w:ind w:left="1276" w:right="1008" w:hanging="425"/>
        <w:rPr>
          <w:rFonts w:ascii="Times New Roman" w:eastAsia="Calibri" w:hAnsi="Times New Roman" w:cs="Times New Roman"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 xml:space="preserve">• </w:t>
      </w:r>
      <w:r w:rsidRPr="003E7BE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7BE6">
        <w:rPr>
          <w:rFonts w:ascii="Times New Roman" w:hAnsi="Times New Roman" w:cs="Times New Roman"/>
          <w:bCs/>
          <w:color w:val="000000"/>
        </w:rPr>
        <w:t>le</w:t>
      </w:r>
      <w:r w:rsidRPr="003E7BE6">
        <w:rPr>
          <w:rFonts w:ascii="Times New Roman" w:hAnsi="Times New Roman" w:cs="Times New Roman"/>
          <w:b/>
          <w:bCs/>
          <w:color w:val="000000"/>
        </w:rPr>
        <w:t xml:space="preserve"> démantèlement </w:t>
      </w:r>
      <w:r w:rsidRPr="003E7BE6">
        <w:rPr>
          <w:rFonts w:ascii="Times New Roman" w:hAnsi="Times New Roman" w:cs="Times New Roman"/>
          <w:b/>
          <w:color w:val="000000"/>
        </w:rPr>
        <w:t>du mur</w:t>
      </w:r>
      <w:r w:rsidRPr="003E7BE6">
        <w:rPr>
          <w:rFonts w:ascii="Times New Roman" w:hAnsi="Times New Roman" w:cs="Times New Roman"/>
          <w:color w:val="000000"/>
        </w:rPr>
        <w:t xml:space="preserve"> de la honte (</w:t>
      </w:r>
      <w:r w:rsidRPr="003E7BE6">
        <w:rPr>
          <w:rFonts w:ascii="Times New Roman" w:eastAsia="Calibri" w:hAnsi="Times New Roman" w:cs="Times New Roman"/>
          <w:color w:val="000000"/>
        </w:rPr>
        <w:t xml:space="preserve">décision de la Cour internationale de Justice, </w:t>
      </w:r>
    </w:p>
    <w:p w:rsidR="00CE33A3" w:rsidRPr="003E7BE6" w:rsidRDefault="00CE33A3" w:rsidP="00200230">
      <w:pPr>
        <w:pStyle w:val="Paragraphedeliste"/>
        <w:autoSpaceDE w:val="0"/>
        <w:autoSpaceDN w:val="0"/>
        <w:adjustRightInd w:val="0"/>
        <w:ind w:left="1276" w:right="1008" w:hanging="142"/>
        <w:rPr>
          <w:rFonts w:ascii="Times New Roman" w:eastAsia="Calibri" w:hAnsi="Times New Roman" w:cs="Times New Roman"/>
          <w:color w:val="000000"/>
        </w:rPr>
      </w:pPr>
      <w:r w:rsidRPr="003E7BE6">
        <w:rPr>
          <w:rFonts w:ascii="Times New Roman" w:eastAsia="Calibri" w:hAnsi="Times New Roman" w:cs="Times New Roman"/>
          <w:color w:val="000000"/>
        </w:rPr>
        <w:t xml:space="preserve">9 juillet 2004) </w:t>
      </w:r>
    </w:p>
    <w:p w:rsidR="00CE33A3" w:rsidRPr="003E7BE6" w:rsidRDefault="00200230" w:rsidP="00200230">
      <w:pPr>
        <w:pStyle w:val="Paragraphedeliste"/>
        <w:autoSpaceDE w:val="0"/>
        <w:autoSpaceDN w:val="0"/>
        <w:adjustRightInd w:val="0"/>
        <w:ind w:left="1134" w:right="1008" w:hanging="283"/>
        <w:rPr>
          <w:rFonts w:ascii="Times New Roman" w:hAnsi="Times New Roman" w:cs="Times New Roman"/>
          <w:color w:val="000000"/>
        </w:rPr>
      </w:pPr>
      <w:r w:rsidRPr="003E7BE6">
        <w:rPr>
          <w:rFonts w:ascii="Times New Roman" w:hAnsi="Times New Roman" w:cs="Times New Roman"/>
          <w:color w:val="000000"/>
        </w:rPr>
        <w:t xml:space="preserve">• </w:t>
      </w:r>
      <w:r w:rsidR="00CE33A3" w:rsidRPr="003E7BE6">
        <w:rPr>
          <w:rFonts w:ascii="Times New Roman" w:eastAsia="Calibri" w:hAnsi="Times New Roman" w:cs="Times New Roman"/>
          <w:color w:val="000000"/>
        </w:rPr>
        <w:t xml:space="preserve">la </w:t>
      </w:r>
      <w:r w:rsidR="00CE33A3" w:rsidRPr="003E7BE6">
        <w:rPr>
          <w:rFonts w:ascii="Times New Roman" w:eastAsia="Calibri" w:hAnsi="Times New Roman" w:cs="Times New Roman"/>
          <w:b/>
          <w:color w:val="000000"/>
        </w:rPr>
        <w:t xml:space="preserve">fin des </w:t>
      </w:r>
      <w:r w:rsidRPr="003E7BE6">
        <w:rPr>
          <w:rFonts w:ascii="Times New Roman" w:eastAsia="Calibri" w:hAnsi="Times New Roman" w:cs="Times New Roman"/>
          <w:b/>
          <w:color w:val="000000"/>
        </w:rPr>
        <w:t xml:space="preserve">politiques et </w:t>
      </w:r>
      <w:r w:rsidR="00CE33A3" w:rsidRPr="003E7BE6">
        <w:rPr>
          <w:rFonts w:ascii="Times New Roman" w:eastAsia="Calibri" w:hAnsi="Times New Roman" w:cs="Times New Roman"/>
          <w:b/>
          <w:color w:val="000000"/>
        </w:rPr>
        <w:t xml:space="preserve">pratiques d’apartheid </w:t>
      </w:r>
      <w:r w:rsidR="00CE33A3" w:rsidRPr="003E7BE6">
        <w:rPr>
          <w:rFonts w:ascii="Times New Roman" w:eastAsia="Calibri" w:hAnsi="Times New Roman" w:cs="Times New Roman"/>
          <w:color w:val="000000"/>
        </w:rPr>
        <w:t>(</w:t>
      </w:r>
      <w:r w:rsidR="00CE33A3" w:rsidRPr="003E7BE6">
        <w:rPr>
          <w:rFonts w:ascii="Times New Roman" w:hAnsi="Times New Roman" w:cs="Times New Roman"/>
          <w:color w:val="000000"/>
        </w:rPr>
        <w:t xml:space="preserve">Convention Internationale sur l’élimination et la répression du crime d’apartheid     (1973). </w:t>
      </w:r>
    </w:p>
    <w:p w:rsidR="00CE33A3" w:rsidRDefault="00CE33A3" w:rsidP="00CE33A3">
      <w:pPr>
        <w:ind w:left="0" w:firstLine="0"/>
        <w:rPr>
          <w:b/>
          <w:sz w:val="28"/>
          <w:szCs w:val="28"/>
        </w:rPr>
      </w:pPr>
    </w:p>
    <w:p w:rsidR="00122172" w:rsidRPr="003E7BE6" w:rsidRDefault="00200230" w:rsidP="00200230">
      <w:pPr>
        <w:ind w:left="0" w:firstLine="0"/>
        <w:rPr>
          <w:rFonts w:ascii="Times New Roman" w:hAnsi="Times New Roman" w:cs="Times New Roman"/>
        </w:rPr>
      </w:pPr>
      <w:r w:rsidRPr="00200230">
        <w:rPr>
          <w:rFonts w:ascii="Times New Roman" w:hAnsi="Times New Roman" w:cs="Times New Roman"/>
          <w:b/>
          <w:sz w:val="28"/>
          <w:szCs w:val="28"/>
        </w:rPr>
        <w:t>Le droit à la résistance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E6">
        <w:rPr>
          <w:rFonts w:ascii="Times New Roman" w:hAnsi="Times New Roman" w:cs="Times New Roman"/>
        </w:rPr>
        <w:t>Quand on est occupé, colonisé depuis des décennies; quand on est emmuré</w:t>
      </w:r>
      <w:r w:rsidR="00E621DD" w:rsidRPr="003E7BE6">
        <w:rPr>
          <w:rFonts w:ascii="Times New Roman" w:hAnsi="Times New Roman" w:cs="Times New Roman"/>
        </w:rPr>
        <w:t xml:space="preserve"> faisant de la vie quotidienne un enfer quotidien; quand on est</w:t>
      </w:r>
      <w:r w:rsidRPr="003E7BE6">
        <w:rPr>
          <w:rFonts w:ascii="Times New Roman" w:hAnsi="Times New Roman" w:cs="Times New Roman"/>
        </w:rPr>
        <w:t xml:space="preserve"> pris au piège d’un blocus implacable qui fait de Gaza une « prison à ciel ouvert »</w:t>
      </w:r>
      <w:r w:rsidR="00E621DD" w:rsidRPr="003E7BE6">
        <w:rPr>
          <w:rFonts w:ascii="Times New Roman" w:hAnsi="Times New Roman" w:cs="Times New Roman"/>
        </w:rPr>
        <w:t xml:space="preserve"> dont on ne peut ni sortir ni recevoir parenté et amis; quand on est victime de politiques discriminatoires « parce que palestiniens » ce que l’ex-président Carter, Nelson Mandela, Mgr Tutu et tant d’autres ont qualifié d’apartheid; quand on </w:t>
      </w:r>
      <w:r w:rsidR="00C66608" w:rsidRPr="003E7BE6">
        <w:rPr>
          <w:rFonts w:ascii="Times New Roman" w:hAnsi="Times New Roman" w:cs="Times New Roman"/>
        </w:rPr>
        <w:t>est tout le temps</w:t>
      </w:r>
      <w:r w:rsidR="00E621DD" w:rsidRPr="003E7BE6">
        <w:rPr>
          <w:rFonts w:ascii="Times New Roman" w:hAnsi="Times New Roman" w:cs="Times New Roman"/>
        </w:rPr>
        <w:t xml:space="preserve"> abandonné</w:t>
      </w:r>
      <w:r w:rsidR="00C66608" w:rsidRPr="003E7BE6">
        <w:rPr>
          <w:rFonts w:ascii="Times New Roman" w:hAnsi="Times New Roman" w:cs="Times New Roman"/>
        </w:rPr>
        <w:t xml:space="preserve"> et dénigré </w:t>
      </w:r>
      <w:r w:rsidR="00E621DD" w:rsidRPr="003E7BE6">
        <w:rPr>
          <w:rFonts w:ascii="Times New Roman" w:hAnsi="Times New Roman" w:cs="Times New Roman"/>
        </w:rPr>
        <w:t xml:space="preserve"> par la communauté internationale </w:t>
      </w:r>
      <w:r w:rsidR="00C66608" w:rsidRPr="003E7BE6">
        <w:rPr>
          <w:rFonts w:ascii="Times New Roman" w:hAnsi="Times New Roman" w:cs="Times New Roman"/>
        </w:rPr>
        <w:t>dès qu’on ose protester ou tenter d’accéder à l’ONU; quand on se fait détruir</w:t>
      </w:r>
      <w:r w:rsidR="00E621DD" w:rsidRPr="003E7BE6">
        <w:rPr>
          <w:rFonts w:ascii="Times New Roman" w:hAnsi="Times New Roman" w:cs="Times New Roman"/>
        </w:rPr>
        <w:t xml:space="preserve">e sa maison et ses oliviers centenaires; </w:t>
      </w:r>
      <w:r w:rsidR="00C66608" w:rsidRPr="003E7BE6">
        <w:rPr>
          <w:rFonts w:ascii="Times New Roman" w:hAnsi="Times New Roman" w:cs="Times New Roman"/>
        </w:rPr>
        <w:t xml:space="preserve">quand on reçoit de vrais balles en échange d’actions pacifiques comme à </w:t>
      </w:r>
      <w:proofErr w:type="spellStart"/>
      <w:r w:rsidR="00C66608" w:rsidRPr="003E7BE6">
        <w:rPr>
          <w:rFonts w:ascii="Times New Roman" w:hAnsi="Times New Roman" w:cs="Times New Roman"/>
        </w:rPr>
        <w:t>Bill’In</w:t>
      </w:r>
      <w:proofErr w:type="spellEnd"/>
      <w:r w:rsidR="00C66608" w:rsidRPr="003E7BE6">
        <w:rPr>
          <w:rFonts w:ascii="Times New Roman" w:hAnsi="Times New Roman" w:cs="Times New Roman"/>
        </w:rPr>
        <w:t xml:space="preserve">; quand on gaspille une parte de sa vie à attendre dans les « check points » le bon-vouloir des soldats-enfants israéliens qui se prennent pour des maîtres tout puissants; </w:t>
      </w:r>
      <w:r w:rsidR="00E621DD" w:rsidRPr="003E7BE6">
        <w:rPr>
          <w:rFonts w:ascii="Times New Roman" w:hAnsi="Times New Roman" w:cs="Times New Roman"/>
        </w:rPr>
        <w:t>quand ses enfants n’ont que cela comme passé, que la guerre comme présent et rien comme avenir….doit-on « présenter la joue » ?</w:t>
      </w:r>
      <w:r w:rsidR="00C66608" w:rsidRPr="003E7BE6">
        <w:rPr>
          <w:rFonts w:ascii="Times New Roman" w:hAnsi="Times New Roman" w:cs="Times New Roman"/>
        </w:rPr>
        <w:t xml:space="preserve"> </w:t>
      </w:r>
    </w:p>
    <w:p w:rsidR="00C66608" w:rsidRPr="003E7BE6" w:rsidRDefault="00C66608" w:rsidP="00200230">
      <w:pPr>
        <w:ind w:left="0" w:firstLine="0"/>
        <w:rPr>
          <w:rFonts w:ascii="Times New Roman" w:hAnsi="Times New Roman" w:cs="Times New Roman"/>
        </w:rPr>
      </w:pPr>
    </w:p>
    <w:p w:rsidR="00C66608" w:rsidRPr="003E7BE6" w:rsidRDefault="00C66608" w:rsidP="00200230">
      <w:pPr>
        <w:ind w:left="0" w:firstLine="0"/>
        <w:rPr>
          <w:rFonts w:ascii="Times New Roman" w:hAnsi="Times New Roman" w:cs="Times New Roman"/>
        </w:rPr>
      </w:pPr>
      <w:r w:rsidRPr="003E7BE6">
        <w:rPr>
          <w:rFonts w:ascii="Times New Roman" w:hAnsi="Times New Roman" w:cs="Times New Roman"/>
        </w:rPr>
        <w:t xml:space="preserve">Le préambule de la Déclaration universelle des droits de l’homme est formel : </w:t>
      </w:r>
      <w:r w:rsidRPr="003E7BE6">
        <w:rPr>
          <w:rFonts w:ascii="Times New Roman" w:hAnsi="Times New Roman" w:cs="Times New Roman"/>
          <w:b/>
          <w:i/>
        </w:rPr>
        <w:t xml:space="preserve">il est essentiel que les droits de l’homme soient protégés par un régime de droit pour que l’homme ne soit pas contrait, en suprême recours, à la révolte contre la tyrannie et l’oppression. </w:t>
      </w:r>
      <w:r w:rsidRPr="003E7BE6">
        <w:rPr>
          <w:rFonts w:ascii="Times New Roman" w:hAnsi="Times New Roman" w:cs="Times New Roman"/>
        </w:rPr>
        <w:t xml:space="preserve">Le peuple palestinien a le droit de résister </w:t>
      </w:r>
      <w:r w:rsidR="009B2BD9" w:rsidRPr="003E7BE6">
        <w:rPr>
          <w:rFonts w:ascii="Times New Roman" w:hAnsi="Times New Roman" w:cs="Times New Roman"/>
        </w:rPr>
        <w:t>et de choisir ses propres moyens de résistance, dans la mesure où ces moyens respectent le droit international et les conventions q</w:t>
      </w:r>
      <w:r w:rsidR="003E7BE6" w:rsidRPr="003E7BE6">
        <w:rPr>
          <w:rFonts w:ascii="Times New Roman" w:hAnsi="Times New Roman" w:cs="Times New Roman"/>
        </w:rPr>
        <w:t>ui régissent les conflits armés (dont entre autres la protection des civils)</w:t>
      </w:r>
    </w:p>
    <w:p w:rsidR="009B2BD9" w:rsidRDefault="009B2BD9" w:rsidP="0020023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D9" w:rsidRDefault="009B2BD9" w:rsidP="0020023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Nous demandons :</w:t>
      </w:r>
    </w:p>
    <w:p w:rsidR="009B2BD9" w:rsidRDefault="009B2BD9" w:rsidP="0020023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B2BD9" w:rsidRDefault="009B2BD9" w:rsidP="009B2BD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l’arrêt immédiat et inconditionnel des hostilités : </w:t>
      </w:r>
      <w:r w:rsidRPr="009B2BD9">
        <w:rPr>
          <w:rFonts w:ascii="Times New Roman" w:hAnsi="Times New Roman" w:cs="Times New Roman"/>
          <w:sz w:val="28"/>
          <w:szCs w:val="28"/>
        </w:rPr>
        <w:t>le carnage doit cesser, les armes doivent se taire, les militaires doivent retourner dans leurs casernes</w:t>
      </w:r>
      <w:r w:rsidR="003E7BE6">
        <w:rPr>
          <w:rFonts w:ascii="Times New Roman" w:hAnsi="Times New Roman" w:cs="Times New Roman"/>
          <w:sz w:val="28"/>
          <w:szCs w:val="28"/>
        </w:rPr>
        <w:t>.</w:t>
      </w:r>
      <w:r w:rsidR="000472D3">
        <w:rPr>
          <w:rFonts w:ascii="Times New Roman" w:hAnsi="Times New Roman" w:cs="Times New Roman"/>
          <w:sz w:val="28"/>
          <w:szCs w:val="28"/>
        </w:rPr>
        <w:t xml:space="preserve"> Il n’y a pas de solution militaire à ce conflit.</w:t>
      </w:r>
    </w:p>
    <w:p w:rsidR="009B2BD9" w:rsidRPr="009B2BD9" w:rsidRDefault="009B2BD9" w:rsidP="009B2BD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respect par Israël du droit international et des droits humains fondamentaux de tous les Palestiniens et Palestiniennes. </w:t>
      </w:r>
      <w:r>
        <w:rPr>
          <w:rFonts w:ascii="Times New Roman" w:hAnsi="Times New Roman" w:cs="Times New Roman"/>
          <w:sz w:val="28"/>
          <w:szCs w:val="28"/>
        </w:rPr>
        <w:t xml:space="preserve">Ce droit international doit constituer la </w:t>
      </w:r>
      <w:r w:rsidR="003E7BE6">
        <w:rPr>
          <w:rFonts w:ascii="Times New Roman" w:hAnsi="Times New Roman" w:cs="Times New Roman"/>
          <w:sz w:val="28"/>
          <w:szCs w:val="28"/>
        </w:rPr>
        <w:t xml:space="preserve">seule </w:t>
      </w:r>
      <w:r>
        <w:rPr>
          <w:rFonts w:ascii="Times New Roman" w:hAnsi="Times New Roman" w:cs="Times New Roman"/>
          <w:sz w:val="28"/>
          <w:szCs w:val="28"/>
        </w:rPr>
        <w:t xml:space="preserve">base d’une solution politique </w:t>
      </w:r>
      <w:r w:rsidR="000472D3">
        <w:rPr>
          <w:rFonts w:ascii="Times New Roman" w:hAnsi="Times New Roman" w:cs="Times New Roman"/>
          <w:sz w:val="28"/>
          <w:szCs w:val="28"/>
        </w:rPr>
        <w:t>juste.</w:t>
      </w:r>
    </w:p>
    <w:p w:rsidR="009B2BD9" w:rsidRPr="009B2BD9" w:rsidRDefault="009B2BD9" w:rsidP="009B2BD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l’engagement des gouvernements canadien et québécois et 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éluEs</w:t>
      </w:r>
      <w:proofErr w:type="spellEnd"/>
      <w:r w:rsidR="003E7BE6">
        <w:rPr>
          <w:rFonts w:ascii="Times New Roman" w:hAnsi="Times New Roman" w:cs="Times New Roman"/>
          <w:b/>
          <w:sz w:val="28"/>
          <w:szCs w:val="28"/>
        </w:rPr>
        <w:t xml:space="preserve"> à faire pression sur Israël pour qu’il respecte ce droit. </w:t>
      </w:r>
      <w:r w:rsidR="003E7BE6">
        <w:rPr>
          <w:rFonts w:ascii="Times New Roman" w:hAnsi="Times New Roman" w:cs="Times New Roman"/>
          <w:sz w:val="28"/>
          <w:szCs w:val="28"/>
        </w:rPr>
        <w:t xml:space="preserve">Cela suppose un changement radical d’orientation des dirigeants canadiens unilatéralement compromis en faveur d’Israël. Les </w:t>
      </w:r>
      <w:proofErr w:type="spellStart"/>
      <w:r w:rsidR="003E7BE6">
        <w:rPr>
          <w:rFonts w:ascii="Times New Roman" w:hAnsi="Times New Roman" w:cs="Times New Roman"/>
          <w:sz w:val="28"/>
          <w:szCs w:val="28"/>
        </w:rPr>
        <w:t>éluEs</w:t>
      </w:r>
      <w:proofErr w:type="spellEnd"/>
      <w:r w:rsidR="003E7BE6">
        <w:rPr>
          <w:rFonts w:ascii="Times New Roman" w:hAnsi="Times New Roman" w:cs="Times New Roman"/>
          <w:sz w:val="28"/>
          <w:szCs w:val="28"/>
        </w:rPr>
        <w:t xml:space="preserve"> québécois doivent également s’aligner sur une position plus courageuse envers le peuple </w:t>
      </w:r>
      <w:proofErr w:type="spellStart"/>
      <w:r w:rsidR="003E7BE6">
        <w:rPr>
          <w:rFonts w:ascii="Times New Roman" w:hAnsi="Times New Roman" w:cs="Times New Roman"/>
          <w:sz w:val="28"/>
          <w:szCs w:val="28"/>
        </w:rPr>
        <w:t>palestinien</w:t>
      </w:r>
      <w:proofErr w:type="gramStart"/>
      <w:r w:rsidR="003E7BE6">
        <w:rPr>
          <w:rFonts w:ascii="Times New Roman" w:hAnsi="Times New Roman" w:cs="Times New Roman"/>
          <w:sz w:val="28"/>
          <w:szCs w:val="28"/>
        </w:rPr>
        <w:t>,basée</w:t>
      </w:r>
      <w:proofErr w:type="spellEnd"/>
      <w:proofErr w:type="gramEnd"/>
      <w:r w:rsidR="003E7BE6">
        <w:rPr>
          <w:rFonts w:ascii="Times New Roman" w:hAnsi="Times New Roman" w:cs="Times New Roman"/>
          <w:sz w:val="28"/>
          <w:szCs w:val="28"/>
        </w:rPr>
        <w:t xml:space="preserve"> sur le droit international</w:t>
      </w:r>
    </w:p>
    <w:p w:rsidR="00122172" w:rsidRDefault="00122172" w:rsidP="00122172">
      <w:pPr>
        <w:jc w:val="center"/>
        <w:rPr>
          <w:b/>
          <w:sz w:val="28"/>
          <w:szCs w:val="28"/>
        </w:rPr>
      </w:pPr>
    </w:p>
    <w:p w:rsidR="00122172" w:rsidRDefault="003E7BE6" w:rsidP="003E7BE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E7BE6">
        <w:rPr>
          <w:rFonts w:ascii="Times New Roman" w:hAnsi="Times New Roman" w:cs="Times New Roman"/>
          <w:b/>
          <w:sz w:val="28"/>
          <w:szCs w:val="28"/>
        </w:rPr>
        <w:t xml:space="preserve">Nous invitons </w:t>
      </w:r>
      <w:r>
        <w:rPr>
          <w:rFonts w:ascii="Times New Roman" w:hAnsi="Times New Roman" w:cs="Times New Roman"/>
          <w:b/>
          <w:sz w:val="28"/>
          <w:szCs w:val="28"/>
        </w:rPr>
        <w:t xml:space="preserve">la population québécoise à renforcer sa solidarité avec le peuple palestinien </w:t>
      </w:r>
      <w:r>
        <w:rPr>
          <w:rFonts w:ascii="Times New Roman" w:hAnsi="Times New Roman" w:cs="Times New Roman"/>
          <w:b/>
          <w:sz w:val="24"/>
          <w:szCs w:val="24"/>
        </w:rPr>
        <w:t>en se joignant à la marche vendredi 11 juillet 17h30 Métro Guy/Concordia</w:t>
      </w:r>
    </w:p>
    <w:p w:rsidR="003E7BE6" w:rsidRDefault="003E7BE6" w:rsidP="003E7BE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E7BE6" w:rsidRPr="003E7BE6" w:rsidRDefault="003E7BE6" w:rsidP="003E7BE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Signatures : CJPP….etc.</w:t>
      </w:r>
    </w:p>
    <w:sectPr w:rsidR="003E7BE6" w:rsidRPr="003E7BE6" w:rsidSect="005F3F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9E" w:rsidRDefault="00A5729E" w:rsidP="00BA4DDE">
      <w:r>
        <w:separator/>
      </w:r>
    </w:p>
  </w:endnote>
  <w:endnote w:type="continuationSeparator" w:id="0">
    <w:p w:rsidR="00A5729E" w:rsidRDefault="00A5729E" w:rsidP="00BA4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9E" w:rsidRDefault="00A5729E" w:rsidP="00BA4DDE">
      <w:r>
        <w:separator/>
      </w:r>
    </w:p>
  </w:footnote>
  <w:footnote w:type="continuationSeparator" w:id="0">
    <w:p w:rsidR="00A5729E" w:rsidRDefault="00A5729E" w:rsidP="00BA4DDE">
      <w:r>
        <w:continuationSeparator/>
      </w:r>
    </w:p>
  </w:footnote>
  <w:footnote w:id="1">
    <w:p w:rsidR="00BA4DDE" w:rsidRPr="00BA4DDE" w:rsidRDefault="00BA4DDE" w:rsidP="00BA4DDE">
      <w:pPr>
        <w:pStyle w:val="Notedebasdepage"/>
        <w:ind w:left="0" w:firstLine="0"/>
        <w:rPr>
          <w:rFonts w:ascii="Times New Roman" w:hAnsi="Times New Roman" w:cs="Times New Roman"/>
        </w:rPr>
      </w:pPr>
      <w:r w:rsidRPr="00BA4DDE">
        <w:rPr>
          <w:rStyle w:val="Appelnotedebasdep"/>
          <w:rFonts w:ascii="Times New Roman" w:hAnsi="Times New Roman" w:cs="Times New Roman"/>
        </w:rPr>
        <w:footnoteRef/>
      </w:r>
      <w:r w:rsidRPr="00BA4DDE">
        <w:rPr>
          <w:rFonts w:ascii="Times New Roman" w:hAnsi="Times New Roman" w:cs="Times New Roman"/>
        </w:rPr>
        <w:t xml:space="preserve"> Tiré du livre de </w:t>
      </w:r>
      <w:proofErr w:type="spellStart"/>
      <w:r w:rsidRPr="00BA4DDE">
        <w:rPr>
          <w:rFonts w:ascii="Times New Roman" w:hAnsi="Times New Roman" w:cs="Times New Roman"/>
        </w:rPr>
        <w:t>Rezeq</w:t>
      </w:r>
      <w:proofErr w:type="spellEnd"/>
      <w:r w:rsidRPr="00BA4DDE">
        <w:rPr>
          <w:rFonts w:ascii="Times New Roman" w:hAnsi="Times New Roman" w:cs="Times New Roman"/>
        </w:rPr>
        <w:t xml:space="preserve"> </w:t>
      </w:r>
      <w:proofErr w:type="spellStart"/>
      <w:r w:rsidRPr="00BA4DDE">
        <w:rPr>
          <w:rFonts w:ascii="Times New Roman" w:hAnsi="Times New Roman" w:cs="Times New Roman"/>
        </w:rPr>
        <w:t>Faraj</w:t>
      </w:r>
      <w:proofErr w:type="spellEnd"/>
      <w:r w:rsidRPr="00BA4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345AD">
        <w:rPr>
          <w:rFonts w:ascii="Times New Roman" w:hAnsi="Times New Roman" w:cs="Times New Roman"/>
          <w:i/>
        </w:rPr>
        <w:t>Palestine : l</w:t>
      </w:r>
      <w:r>
        <w:rPr>
          <w:rFonts w:ascii="Times New Roman" w:hAnsi="Times New Roman" w:cs="Times New Roman"/>
          <w:i/>
        </w:rPr>
        <w:t xml:space="preserve">e refus de disparaître </w:t>
      </w:r>
      <w:r w:rsidR="007345AD">
        <w:rPr>
          <w:rFonts w:ascii="Times New Roman" w:hAnsi="Times New Roman" w:cs="Times New Roman"/>
        </w:rPr>
        <w:t xml:space="preserve"> (2005) Éditions de la Pleine lune. </w:t>
      </w:r>
      <w:r>
        <w:rPr>
          <w:rFonts w:ascii="Times New Roman" w:hAnsi="Times New Roman" w:cs="Times New Roman"/>
          <w:i/>
        </w:rPr>
        <w:t xml:space="preserve"> </w:t>
      </w:r>
      <w:r w:rsidRPr="00BA4DDE">
        <w:rPr>
          <w:rFonts w:ascii="Times New Roman" w:hAnsi="Times New Roman" w:cs="Times New Roman"/>
        </w:rPr>
        <w:t xml:space="preserve"> </w:t>
      </w:r>
      <w:proofErr w:type="spellStart"/>
      <w:r w:rsidR="007345AD">
        <w:rPr>
          <w:rFonts w:ascii="Times New Roman" w:hAnsi="Times New Roman" w:cs="Times New Roman"/>
        </w:rPr>
        <w:t>Rezeq</w:t>
      </w:r>
      <w:proofErr w:type="spellEnd"/>
      <w:r w:rsidR="007345AD">
        <w:rPr>
          <w:rFonts w:ascii="Times New Roman" w:hAnsi="Times New Roman" w:cs="Times New Roman"/>
        </w:rPr>
        <w:t xml:space="preserve"> </w:t>
      </w:r>
      <w:proofErr w:type="spellStart"/>
      <w:r w:rsidR="007345AD">
        <w:rPr>
          <w:rFonts w:ascii="Times New Roman" w:hAnsi="Times New Roman" w:cs="Times New Roman"/>
        </w:rPr>
        <w:t>Faraj</w:t>
      </w:r>
      <w:proofErr w:type="spellEnd"/>
      <w:r w:rsidR="007345AD">
        <w:rPr>
          <w:rFonts w:ascii="Times New Roman" w:hAnsi="Times New Roman" w:cs="Times New Roman"/>
        </w:rPr>
        <w:t xml:space="preserve"> est un </w:t>
      </w:r>
      <w:r w:rsidRPr="00BA4DDE">
        <w:rPr>
          <w:rFonts w:ascii="Times New Roman" w:hAnsi="Times New Roman" w:cs="Times New Roman"/>
        </w:rPr>
        <w:t xml:space="preserve">palestinien exclu de sa maison et de ses terres au moment de la création d’Israël, exilé au Québec, devenu enseignant et </w:t>
      </w:r>
      <w:r w:rsidR="007345AD">
        <w:rPr>
          <w:rFonts w:ascii="Times New Roman" w:hAnsi="Times New Roman" w:cs="Times New Roman"/>
        </w:rPr>
        <w:t xml:space="preserve">membre </w:t>
      </w:r>
      <w:r w:rsidRPr="00BA4DDE">
        <w:rPr>
          <w:rFonts w:ascii="Times New Roman" w:hAnsi="Times New Roman" w:cs="Times New Roman"/>
        </w:rPr>
        <w:t>de la CSQ, co-fondateur de PAJU et de la Coaliti</w:t>
      </w:r>
      <w:r w:rsidR="007345AD">
        <w:rPr>
          <w:rFonts w:ascii="Times New Roman" w:hAnsi="Times New Roman" w:cs="Times New Roman"/>
        </w:rPr>
        <w:t>o</w:t>
      </w:r>
      <w:r w:rsidRPr="00BA4DDE">
        <w:rPr>
          <w:rFonts w:ascii="Times New Roman" w:hAnsi="Times New Roman" w:cs="Times New Roman"/>
        </w:rPr>
        <w:t>n pour la justice et la paix en Palestine</w:t>
      </w:r>
      <w:r w:rsidR="007345AD">
        <w:rPr>
          <w:rFonts w:ascii="Times New Roman" w:hAnsi="Times New Roman" w:cs="Times New Roman"/>
        </w:rPr>
        <w:t xml:space="preserve"> (CJPP)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AD5"/>
    <w:multiLevelType w:val="hybridMultilevel"/>
    <w:tmpl w:val="308496E8"/>
    <w:lvl w:ilvl="0" w:tplc="9988A660">
      <w:start w:val="9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72"/>
    <w:rsid w:val="000472D3"/>
    <w:rsid w:val="000F5749"/>
    <w:rsid w:val="00122172"/>
    <w:rsid w:val="00200230"/>
    <w:rsid w:val="002166C2"/>
    <w:rsid w:val="00273795"/>
    <w:rsid w:val="003E7BE6"/>
    <w:rsid w:val="00481437"/>
    <w:rsid w:val="004C60EE"/>
    <w:rsid w:val="0054798A"/>
    <w:rsid w:val="005B093B"/>
    <w:rsid w:val="005F3F40"/>
    <w:rsid w:val="006E13F5"/>
    <w:rsid w:val="007345AD"/>
    <w:rsid w:val="008166EF"/>
    <w:rsid w:val="008642A5"/>
    <w:rsid w:val="008B3D13"/>
    <w:rsid w:val="009054AC"/>
    <w:rsid w:val="009B2BD9"/>
    <w:rsid w:val="00A1323E"/>
    <w:rsid w:val="00A56BBB"/>
    <w:rsid w:val="00A5729E"/>
    <w:rsid w:val="00A67226"/>
    <w:rsid w:val="00AF3FC5"/>
    <w:rsid w:val="00BA4DDE"/>
    <w:rsid w:val="00C040AF"/>
    <w:rsid w:val="00C34297"/>
    <w:rsid w:val="00C66608"/>
    <w:rsid w:val="00CE33A3"/>
    <w:rsid w:val="00D13F1B"/>
    <w:rsid w:val="00D57445"/>
    <w:rsid w:val="00D841E7"/>
    <w:rsid w:val="00DD3091"/>
    <w:rsid w:val="00E621DD"/>
    <w:rsid w:val="00F46B25"/>
    <w:rsid w:val="00F5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1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17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D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D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DD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E3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076A-CCEA-4D05-B09B-570117E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</cp:lastModifiedBy>
  <cp:revision>8</cp:revision>
  <dcterms:created xsi:type="dcterms:W3CDTF">2014-07-11T02:50:00Z</dcterms:created>
  <dcterms:modified xsi:type="dcterms:W3CDTF">2014-07-11T15:16:00Z</dcterms:modified>
</cp:coreProperties>
</file>