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0.0. Procédures d'ouverture</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0.1. Ouverture</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0.1.1. Ouverture à</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Information</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0.2.Præsidium</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0.2.1. Que Kathy Teasdale et Cédric Champagne soient respectivement animatrice et secrétaire.</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Exécutif</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0.3. Lecture et adoption de l'ordre du jour</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0.0. Procédures d'ouverture</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0.1. Ouverture</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0.2.Præsidium</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0.3. Lecture et adoption de l'ordre du jour</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0.4. Lecture et adoption du procès-verbal</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1.0. Tour de table</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2.0. Femmes</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3.0. Suivi du travail des Comités et des Conseils</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 Conseil exécutif</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3.2. Comité femmes</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3.3. Comité à la recherche et aux affaires académiques</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3.4. Comité antiraciste</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3.5. Comité d'information</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3.6. Comité de formation</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3.7. Comité ad hoc des diversités d'orientations, d'identités sexuelles et de genre</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3.8. Comité légal</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3.9. Comité à la mobilisation</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3.10. Comité du journal</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3.11. Comité aux luttes sociales</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3.12. Conseil des régions</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3.13. Front régional de l'ASSÉ à Québec</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3.14. Conseil régional de l'ASSÉ à Montréal</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4.0. Prochaine réunion</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5.0. Wrap-up</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6.0. Procédures de clôture</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6.1. Varia</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6.2 Levée</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Exécutif</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0.4. Lecture et adoption du procès-verbal</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0.4.1. Que l’on adopte le procès-verbal du 17 mai 2017.</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Femme</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1.0. Tour de table</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1.1 Que l’on fasse un tour de table suivie d’une plénière de quinze minute sur comment ça va</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Exécutif</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u w:val="single"/>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2.0. Femmes</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2.1 Un retour sur le caucus non-mixte femme-homme d’une durée de 10 minutes, suivie d’une plénière de 15 minutes</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CRAA</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u w:val="single"/>
        </w:rPr>
      </w:pPr>
      <w:r w:rsidDel="00000000" w:rsidR="00000000" w:rsidRPr="00000000">
        <w:rPr>
          <w:rtl w:val="0"/>
        </w:rPr>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2.2 Considérant la nécessité d’espaces décoloniaux, antiracistes, féministes, LGBTQIA2+, anticapacitistes, et centrés sur d’autres situations marginalisées, telle qu’être parent étudiant;</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Considérant l’importance de la participation première des dominé-e-s à ces espaces;</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Considérant que cette participation entraîne un travail supplémentaire pour les dominé-e-s, mais généralement pas pour les dominants;</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Considérant que ce travail est un travail politique;</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Que, lors d’instances ou d’espaces non-mixtes de groupes dominés, les militants non-inclus et les militantes non-incluses par la non-mixité doivent assumer les tâches des militantes incluses et les militants inclus par la non-mixité.</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Que cela vaille aussi pour les événements mixtes concernant principalement les militantes et les militants faisant partie de groupes dominés.</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Femmes</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3.0. Suivi du travail des Comités et des Conseils</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3.1. Conseil exécutif</w:t>
      </w:r>
    </w:p>
    <w:p w:rsidR="00000000" w:rsidDel="00000000" w:rsidP="00000000" w:rsidRDefault="00000000" w:rsidRPr="00000000">
      <w:pPr>
        <w:pBdr/>
        <w:spacing w:line="240" w:lineRule="auto"/>
        <w:contextualSpacing w:val="0"/>
        <w:rPr>
          <w:u w:val="single"/>
        </w:rPr>
      </w:pPr>
      <w:r w:rsidDel="00000000" w:rsidR="00000000" w:rsidRPr="00000000">
        <w:rPr>
          <w:rtl w:val="0"/>
        </w:rPr>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3.1.1 </w:t>
      </w:r>
      <w:r w:rsidDel="00000000" w:rsidR="00000000" w:rsidRPr="00000000">
        <w:rPr>
          <w:u w:val="single"/>
          <w:rtl w:val="0"/>
        </w:rPr>
        <w:t xml:space="preserve">Considérant l'avis de motion adopté au congrès annuel 2017;</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Que l'on adopte la proposition de jumelage tel que présentée dans l'annexe A.</w:t>
      </w:r>
    </w:p>
    <w:p w:rsidR="00000000" w:rsidDel="00000000" w:rsidP="00000000" w:rsidRDefault="00000000" w:rsidRPr="00000000">
      <w:pPr>
        <w:pBdr/>
        <w:spacing w:line="240" w:lineRule="auto"/>
        <w:contextualSpacing w:val="0"/>
        <w:rPr>
          <w:u w:val="single"/>
        </w:rPr>
      </w:pPr>
      <w:r w:rsidDel="00000000" w:rsidR="00000000" w:rsidRPr="00000000">
        <w:rPr>
          <w:rtl w:val="0"/>
        </w:rPr>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3.1.1.1 Il est proposé de mettre sur table la proposition d’adoption du plan de jumelage </w:t>
      </w:r>
    </w:p>
    <w:p w:rsidR="00000000" w:rsidDel="00000000" w:rsidP="00000000" w:rsidRDefault="00000000" w:rsidRPr="00000000">
      <w:pPr>
        <w:pBdr/>
        <w:spacing w:line="240" w:lineRule="auto"/>
        <w:contextualSpacing w:val="0"/>
        <w:rPr>
          <w:u w:val="single"/>
        </w:rPr>
      </w:pP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Femmes</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3.1.2 Il est proposé de présenter, pendant 5 minutes, le tableau de répartition des association locales entre les personnes membre de  l’équipe nationales suivie d’une plénière de 10 minutes</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Exécutif</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Femme</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3.1.3 Il est proposé de prendre une pause de 15 minutes</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:CAR</w:t>
      </w:r>
    </w:p>
    <w:p w:rsidR="00000000" w:rsidDel="00000000" w:rsidP="00000000" w:rsidRDefault="00000000" w:rsidRPr="00000000">
      <w:pPr>
        <w:pBdr/>
        <w:spacing w:line="240" w:lineRule="auto"/>
        <w:contextualSpacing w:val="0"/>
        <w:rPr>
          <w:u w:val="single"/>
        </w:rPr>
      </w:pPr>
      <w:r w:rsidDel="00000000" w:rsidR="00000000" w:rsidRPr="00000000">
        <w:rPr>
          <w:i w:val="1"/>
          <w:rtl w:val="0"/>
        </w:rPr>
        <w:t xml:space="preserve">Appuyée par : Exécuti</w:t>
      </w:r>
      <w:r w:rsidDel="00000000" w:rsidR="00000000" w:rsidRPr="00000000">
        <w:rPr>
          <w:u w:val="single"/>
          <w:rtl w:val="0"/>
        </w:rPr>
        <w:t xml:space="preserve">f</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u w:val="single"/>
        </w:rPr>
      </w:pPr>
      <w:r w:rsidDel="00000000" w:rsidR="00000000" w:rsidRPr="00000000">
        <w:rPr>
          <w:rtl w:val="0"/>
        </w:rPr>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3.1.4 </w:t>
      </w:r>
      <w:r w:rsidDel="00000000" w:rsidR="00000000" w:rsidRPr="00000000">
        <w:rPr>
          <w:u w:val="single"/>
          <w:rtl w:val="0"/>
        </w:rPr>
        <w:t xml:space="preserve">Que l’on adopte le calendrier des instances pour l’année 2017-2018 en annexe B.</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Femmes</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3.1.5 </w:t>
      </w:r>
      <w:r w:rsidDel="00000000" w:rsidR="00000000" w:rsidRPr="00000000">
        <w:rPr>
          <w:u w:val="single"/>
          <w:rtl w:val="0"/>
        </w:rPr>
        <w:t xml:space="preserve">Que tout le travail médiatique pour l’année consiste uniquement en la publication de communiqués à diffuser sur diverses plate-formes, selon les objectifs ciblés.</w:t>
        <w:br w:type="textWrapping"/>
        <w:t xml:space="preserve">Qu'aucun communiqué ne soit diffusé sur la plate-forme CNW Telbec sans l'approbation du Conseil de Coordination.</w:t>
        <w:br w:type="textWrapping"/>
        <w:t xml:space="preserve">Que l’on réévalue ce plan si nécessaire en Conseil de Coordination.</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Femmes</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3.1.5.1 Il est proposé d’ammender pour ajouter « sauf pour les groupes alliés, qui pourraient être  entérinés en Conseil exécutif. » après « sans l'approbation du Conseil de Coordination.»</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Femmes</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Retour sur la proposition principale </w:t>
      </w: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Pour : 2</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Contre : 1</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Abstention : 3</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Adoptée majorité</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Appel de la décision de la présidence sur la décision d’adoption à la majorité, pour considérer que cela devrait être une mise en dépôt</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Pour: 2</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Contre : 2</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Abstention : 2</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Battu</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3.1.6 Il est proposé de faire une présentation sur le jumelage des associations étudiantes de 10 minutes suivie d’une plénière de 15 minutes</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Exécutif</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3.1.7 Il est proposé de prendre une pause de 10 minutes et par la suite de passé au point 3.7</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DOISG</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CAR</w:t>
      </w:r>
    </w:p>
    <w:p w:rsidR="00000000" w:rsidDel="00000000" w:rsidP="00000000" w:rsidRDefault="00000000" w:rsidRPr="00000000">
      <w:pPr>
        <w:pBdr/>
        <w:spacing w:line="240" w:lineRule="auto"/>
        <w:contextualSpacing w:val="0"/>
        <w:rPr>
          <w:u w:val="single"/>
        </w:rPr>
      </w:pPr>
      <w:r w:rsidDel="00000000" w:rsidR="00000000" w:rsidRPr="00000000">
        <w:rPr>
          <w:i w:val="1"/>
          <w:rtl w:val="0"/>
        </w:rPr>
        <w:t xml:space="preserve">AU</w:t>
      </w:r>
      <w:r w:rsidDel="00000000" w:rsidR="00000000" w:rsidRPr="00000000">
        <w:rPr>
          <w:rtl w:val="0"/>
        </w:rPr>
      </w:r>
    </w:p>
    <w:p w:rsidR="00000000" w:rsidDel="00000000" w:rsidP="00000000" w:rsidRDefault="00000000" w:rsidRPr="00000000">
      <w:pPr>
        <w:pBdr/>
        <w:spacing w:line="240" w:lineRule="auto"/>
        <w:contextualSpacing w:val="0"/>
        <w:rPr>
          <w:u w:val="single"/>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3.2. Comité femmes</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3.3. Comité à la recherche et aux affaires académiques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3.4. Comité antiraciste</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3.5. Comité d'information</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3.6. Comité de formation</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3.7. Comité ad hoc des diversités d'orientations, d'identités sexuelles et de genre</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u w:val="single"/>
        </w:rPr>
      </w:pPr>
      <w:r w:rsidDel="00000000" w:rsidR="00000000" w:rsidRPr="00000000">
        <w:rPr>
          <w:u w:val="single"/>
          <w:rtl w:val="0"/>
        </w:rPr>
        <w:t xml:space="preserve">3.7.1 </w:t>
      </w:r>
      <w:r w:rsidDel="00000000" w:rsidR="00000000" w:rsidRPr="00000000">
        <w:rPr>
          <w:u w:val="single"/>
          <w:rtl w:val="0"/>
        </w:rPr>
        <w:t xml:space="preserve">Considérant le petit nombre de personnes élu.e sur le Conseil exécutif;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u w:val="single"/>
        </w:rPr>
      </w:pPr>
      <w:r w:rsidDel="00000000" w:rsidR="00000000" w:rsidRPr="00000000">
        <w:rPr>
          <w:u w:val="single"/>
          <w:rtl w:val="0"/>
        </w:rPr>
        <w:t xml:space="preserve">Considérant que le Camp de formation estival arrive bientôt;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u w:val="single"/>
        </w:rPr>
      </w:pPr>
      <w:r w:rsidDel="00000000" w:rsidR="00000000" w:rsidRPr="00000000">
        <w:rPr>
          <w:u w:val="single"/>
          <w:rtl w:val="0"/>
        </w:rPr>
        <w:t xml:space="preserve">Considérant que la campagne porte sur la culture du viol;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u w:val="single"/>
        </w:rPr>
      </w:pPr>
      <w:r w:rsidDel="00000000" w:rsidR="00000000" w:rsidRPr="00000000">
        <w:rPr>
          <w:u w:val="single"/>
          <w:rtl w:val="0"/>
        </w:rPr>
        <w:t xml:space="preserve">Considérant que les réalités LGBPTQIA2+ font partie de la proposition de la campagne annuelle;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u w:val="single"/>
        </w:rPr>
      </w:pPr>
      <w:r w:rsidDel="00000000" w:rsidR="00000000" w:rsidRPr="00000000">
        <w:rPr>
          <w:u w:val="single"/>
          <w:rtl w:val="0"/>
        </w:rPr>
        <w:t xml:space="preserve">Considérant que l’intersectionnalité et la diversité font partie des valeurs du comité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u w:val="single"/>
        </w:rPr>
      </w:pPr>
      <w:r w:rsidDel="00000000" w:rsidR="00000000" w:rsidRPr="00000000">
        <w:rPr>
          <w:u w:val="single"/>
          <w:rtl w:val="0"/>
        </w:rPr>
        <w:t xml:space="preserve">Il est proposé que le comité DOISG, avec l’aide des personnes collaboratrices, organise le camp de formation estivale.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u w:val="single"/>
        </w:rPr>
      </w:pPr>
      <w:r w:rsidDel="00000000" w:rsidR="00000000" w:rsidRPr="00000000">
        <w:rPr>
          <w:u w:val="single"/>
          <w:rtl w:val="0"/>
        </w:rPr>
        <w:t xml:space="preserve">Que le camp de formation estivale porte sur les réalités des personnes de la diversité d’orientation et des identifications sexuelles et des genres.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u w:val="single"/>
        </w:rPr>
      </w:pPr>
      <w:r w:rsidDel="00000000" w:rsidR="00000000" w:rsidRPr="00000000">
        <w:rPr>
          <w:u w:val="single"/>
          <w:rtl w:val="0"/>
        </w:rPr>
        <w:t xml:space="preserve">Que le camp de formation soit thématique aussi du sujet de la campagne annuelle. C’est-à-dire que tout en étant en lien avec les réalités des personnes de la diversité d’orientation et des identifications sexuelles et des genres, qu’elle porte aussi, de façon intersectionnelle, sur la thématique de la campagne annuelle.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u w:val="single"/>
        </w:rPr>
      </w:pPr>
      <w:r w:rsidDel="00000000" w:rsidR="00000000" w:rsidRPr="00000000">
        <w:rPr>
          <w:u w:val="single"/>
          <w:rtl w:val="0"/>
        </w:rPr>
        <w:t xml:space="preserve">Que le camps de formation estivales soit aussi intersectionnelle des autres oppressions. C'est-à-dire que les ateliers en plus de devoir porter sur la culture du viol, doivent aussi porté sur les femmes, les personnes racisé.e.s, sur le capacitisme et tout autre formes d'oppressions pertinente.</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DOISG</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u w:val="single"/>
        </w:rPr>
      </w:pPr>
      <w:r w:rsidDel="00000000" w:rsidR="00000000" w:rsidRPr="00000000">
        <w:rPr>
          <w:u w:val="single"/>
          <w:rtl w:val="0"/>
        </w:rPr>
        <w:t xml:space="preserve">3.7.2 Passé au point 3.10 comité du journal</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Proposée par : CAR</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Appuyée par : Femmes</w:t>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AU</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u w:val="single"/>
        </w:rPr>
      </w:pPr>
      <w:r w:rsidDel="00000000" w:rsidR="00000000" w:rsidRPr="00000000">
        <w:rPr>
          <w:b w:val="1"/>
          <w:u w:val="single"/>
          <w:rtl w:val="0"/>
        </w:rPr>
        <w:t xml:space="preserve">3.8. Comité légal</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3.9. Comité à la mobilisation</w:t>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3.10. Comité du journal</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Qu’un Journal Ultimatum soit produit en vue de la Rentrée A-2017 selon les balises indiquées en annexe C.</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 Femmes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Appuyée par : Information</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AU</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3.10.2 Il est proposé de passé au point 3.2 Comité femmes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 Femmes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 par : Information</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Battu à majorité</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3.10.3 Il est proposé de levée le Coco</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 CAR</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Appuyée par : Information</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AU</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3.11. Comité aux luttes sociales</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3.12. Conseil des régions</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3.13. Front régional de l'ASSÉ à Québec</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3.14. Conseil régional de l'ASSÉ à Montréal</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4.0. Prochaine réunion</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5.0. Wrap-up</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6.0. Procédures de clôture</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6.1. Varia</w:t>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6.2 Levée</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